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120"/>
      </w:pPr>
      <w:r>
        <w:t xml:space="preserve"/>
      </w:r>
    </w:p>
    <w:p>
      <w:pPr>
        <w:spacing w:after="80" w:before="80"/>
        <w:jc w:val="center"/>
      </w:pPr>
      <w:r>
        <w:rPr>
          <w:rFonts w:ascii="Arial" w:cs="Arial" w:eastAsia="Arial" w:hAnsi="Arial"/>
          <w:b/>
          <w:bCs/>
          <w:color w:val="1F3A6E"/>
          <w:sz w:val="30"/>
          <w:szCs w:val="30"/>
        </w:rPr>
        <w:t xml:space="preserve">DEVELOPMENT AND CONTRACTOR AGREEMENT</w:t>
      </w:r>
    </w:p>
    <w:p>
      <w:pPr>
        <w:spacing w:after="80" w:before="80"/>
        <w:jc w:val="center"/>
      </w:pPr>
      <w:r>
        <w:rPr>
          <w:rFonts w:ascii="Arial" w:cs="Arial" w:eastAsia="Arial" w:hAnsi="Arial"/>
          <w:b/>
          <w:bCs/>
          <w:color w:val="1F3A6E"/>
          <w:sz w:val="22"/>
          <w:szCs w:val="22"/>
        </w:rPr>
        <w:t xml:space="preserve">Nesting Navigator, LLC DBA MyNookAi</w:t>
      </w:r>
    </w:p>
    <w:p>
      <w:pPr>
        <w:spacing w:after="60" w:before="60"/>
      </w:pPr>
      <w:r>
        <w:t xml:space="preserve"/>
      </w:r>
    </w:p>
    <w:p>
      <w:pPr>
        <w:spacing w:after="80" w:before="80"/>
        <w:jc w:val="center"/>
      </w:pPr>
      <w:r>
        <w:rPr>
          <w:rFonts w:ascii="Arial" w:cs="Arial" w:eastAsia="Arial" w:hAnsi="Arial"/>
          <w:b w:val="false"/>
          <w:bCs w:val="false"/>
          <w:color w:val="1F3A6E"/>
          <w:sz w:val="20"/>
          <w:szCs w:val="20"/>
        </w:rPr>
        <w:t xml:space="preserve">Effective Date: May 15, 2026</w:t>
      </w:r>
    </w:p>
    <w:p>
      <w:pPr>
        <w:spacing w:after="180" w:before="180"/>
      </w:pPr>
      <w:r>
        <w:t xml:space="preserve"/>
      </w:r>
    </w:p>
    <w:p>
      <w:pPr>
        <w:pStyle w:val="Heading1"/>
        <w:pBdr>
          <w:bottom w:val="single" w:color="1F3A6E" w:sz="4" w:space="6"/>
        </w:pBdr>
        <w:spacing w:after="120" w:before="400"/>
      </w:pPr>
      <w:r>
        <w:rPr>
          <w:rFonts w:ascii="Arial" w:cs="Arial" w:eastAsia="Arial" w:hAnsi="Arial"/>
          <w:b/>
          <w:bCs/>
          <w:color w:val="1F3A6E"/>
          <w:sz w:val="26"/>
          <w:szCs w:val="26"/>
        </w:rPr>
        <w:t xml:space="preserve">PARTIES</w:t>
      </w:r>
    </w:p>
    <w:p>
      <w:pPr>
        <w:spacing w:after="60" w:before="60"/>
      </w:pPr>
      <w:r>
        <w:t xml:space="preserve"/>
      </w:r>
    </w:p>
    <w:p>
      <w:pPr>
        <w:spacing w:after="60" w:before="200"/>
      </w:pPr>
      <w:r>
        <w:rPr>
          <w:rFonts w:ascii="Arial" w:cs="Arial" w:eastAsia="Arial" w:hAnsi="Arial"/>
          <w:b/>
          <w:bCs/>
          <w:color w:val="000000"/>
          <w:sz w:val="21"/>
          <w:szCs w:val="21"/>
        </w:rPr>
        <w:t xml:space="preserve">Company</w:t>
      </w:r>
    </w:p>
    <w:p>
      <w:pPr>
        <w:spacing w:after="60" w:before="60"/>
      </w:pPr>
      <w:r>
        <w:rPr>
          <w:rFonts w:ascii="Arial" w:cs="Arial" w:eastAsia="Arial" w:hAnsi="Arial"/>
          <w:b/>
          <w:bCs/>
          <w:sz w:val="20"/>
          <w:szCs w:val="20"/>
        </w:rPr>
        <w:t xml:space="preserve">Legal Name:    </w:t>
      </w:r>
      <w:r>
        <w:rPr>
          <w:rFonts w:ascii="Arial" w:cs="Arial" w:eastAsia="Arial" w:hAnsi="Arial"/>
          <w:sz w:val="20"/>
          <w:szCs w:val="20"/>
        </w:rPr>
        <w:t xml:space="preserve">Nesting Navigator, LLC DBA MyNookAi</w:t>
      </w:r>
    </w:p>
    <w:p>
      <w:pPr>
        <w:spacing w:after="60" w:before="60"/>
      </w:pPr>
      <w:r>
        <w:rPr>
          <w:rFonts w:ascii="Arial" w:cs="Arial" w:eastAsia="Arial" w:hAnsi="Arial"/>
          <w:b/>
          <w:bCs/>
          <w:sz w:val="20"/>
          <w:szCs w:val="20"/>
        </w:rPr>
        <w:t xml:space="preserve">Address:    </w:t>
      </w:r>
      <w:r>
        <w:rPr>
          <w:rFonts w:ascii="Arial" w:cs="Arial" w:eastAsia="Arial" w:hAnsi="Arial"/>
          <w:sz w:val="20"/>
          <w:szCs w:val="20"/>
        </w:rPr>
        <w:t xml:space="preserve">414 West 44th Street, 5A, New York, NY 10036</w:t>
      </w:r>
    </w:p>
    <w:p>
      <w:pPr>
        <w:spacing w:after="60" w:before="60"/>
      </w:pPr>
      <w:r>
        <w:rPr>
          <w:rFonts w:ascii="Arial" w:cs="Arial" w:eastAsia="Arial" w:hAnsi="Arial"/>
          <w:b/>
          <w:bCs/>
          <w:sz w:val="20"/>
          <w:szCs w:val="20"/>
        </w:rPr>
        <w:t xml:space="preserve">Representative:    </w:t>
      </w:r>
      <w:r>
        <w:rPr>
          <w:rFonts w:ascii="Arial" w:cs="Arial" w:eastAsia="Arial" w:hAnsi="Arial"/>
          <w:sz w:val="20"/>
          <w:szCs w:val="20"/>
        </w:rPr>
        <w:t xml:space="preserve">Jed A. Rubin, Founder and CEO</w:t>
      </w:r>
    </w:p>
    <w:p>
      <w:pPr>
        <w:spacing w:after="120" w:before="120"/>
      </w:pPr>
      <w:r>
        <w:t xml:space="preserve"/>
      </w:r>
    </w:p>
    <w:p>
      <w:pPr>
        <w:spacing w:after="60" w:before="200"/>
      </w:pPr>
      <w:r>
        <w:rPr>
          <w:rFonts w:ascii="Arial" w:cs="Arial" w:eastAsia="Arial" w:hAnsi="Arial"/>
          <w:b/>
          <w:bCs/>
          <w:color w:val="000000"/>
          <w:sz w:val="21"/>
          <w:szCs w:val="21"/>
        </w:rPr>
        <w:t xml:space="preserve">Technical Engineer</w:t>
      </w:r>
    </w:p>
    <w:p>
      <w:pPr>
        <w:spacing w:after="60" w:before="60"/>
      </w:pPr>
      <w:r>
        <w:rPr>
          <w:rFonts w:ascii="Arial" w:cs="Arial" w:eastAsia="Arial" w:hAnsi="Arial"/>
          <w:b/>
          <w:bCs/>
          <w:sz w:val="20"/>
          <w:szCs w:val="20"/>
        </w:rPr>
        <w:t xml:space="preserve">Name:    </w:t>
      </w:r>
      <w:r>
        <w:rPr>
          <w:rFonts w:ascii="Arial" w:cs="Arial" w:eastAsia="Arial" w:hAnsi="Arial"/>
          <w:sz w:val="20"/>
          <w:szCs w:val="20"/>
        </w:rPr>
        <w:t xml:space="preserve">Elad Yaakobovitch</w:t>
      </w:r>
    </w:p>
    <w:p>
      <w:pPr>
        <w:spacing w:after="60" w:before="60"/>
      </w:pPr>
      <w:r>
        <w:rPr>
          <w:rFonts w:ascii="Arial" w:cs="Arial" w:eastAsia="Arial" w:hAnsi="Arial"/>
          <w:b/>
          <w:bCs/>
          <w:sz w:val="20"/>
          <w:szCs w:val="20"/>
        </w:rPr>
        <w:t xml:space="preserve">Address:    </w:t>
      </w:r>
      <w:r>
        <w:rPr>
          <w:rFonts w:ascii="Arial" w:cs="Arial" w:eastAsia="Arial" w:hAnsi="Arial"/>
          <w:sz w:val="20"/>
          <w:szCs w:val="20"/>
        </w:rPr>
        <w:t xml:space="preserve">[Elad Address]</w:t>
      </w:r>
    </w:p>
    <w:p>
      <w:pPr>
        <w:spacing w:after="180" w:before="180"/>
      </w:pPr>
      <w:r>
        <w:t xml:space="preserve"/>
      </w:r>
    </w:p>
    <w:p>
      <w:pPr>
        <w:pStyle w:val="Heading1"/>
        <w:pBdr>
          <w:bottom w:val="single" w:color="1F3A6E" w:sz="4" w:space="6"/>
        </w:pBdr>
        <w:spacing w:after="120" w:before="400"/>
      </w:pPr>
      <w:r>
        <w:rPr>
          <w:rFonts w:ascii="Arial" w:cs="Arial" w:eastAsia="Arial" w:hAnsi="Arial"/>
          <w:b/>
          <w:bCs/>
          <w:color w:val="1F3A6E"/>
          <w:sz w:val="26"/>
          <w:szCs w:val="26"/>
        </w:rPr>
        <w:t xml:space="preserve">RECITALS</w:t>
      </w:r>
    </w:p>
    <w:p>
      <w:pPr>
        <w:spacing w:after="60" w:before="60"/>
      </w:pPr>
      <w:r>
        <w:t xml:space="preserve"/>
      </w:r>
    </w:p>
    <w:p>
      <w:pPr>
        <w:spacing w:after="60" w:before="60"/>
      </w:pPr>
      <w:r>
        <w:rPr>
          <w:rFonts w:ascii="Arial" w:cs="Arial" w:eastAsia="Arial" w:hAnsi="Arial"/>
          <w:color w:val="000000"/>
          <w:sz w:val="20"/>
          <w:szCs w:val="20"/>
        </w:rPr>
        <w:t xml:space="preserve">Company is developing an AI-powered platform for home buyers and renters, featuring a four-phase user journey and integrated lifestyle component operating under the brand MyNookAi.</w:t>
      </w:r>
    </w:p>
    <w:p>
      <w:pPr>
        <w:spacing w:after="60" w:before="60"/>
      </w:pPr>
      <w:r>
        <w:t xml:space="preserve"/>
      </w:r>
    </w:p>
    <w:p>
      <w:pPr>
        <w:spacing w:after="60" w:before="60"/>
      </w:pPr>
      <w:r>
        <w:rPr>
          <w:rFonts w:ascii="Arial" w:cs="Arial" w:eastAsia="Arial" w:hAnsi="Arial"/>
          <w:color w:val="000000"/>
          <w:sz w:val="20"/>
          <w:szCs w:val="20"/>
        </w:rPr>
        <w:t xml:space="preserve">Technical Engineer will receive cash compensation for initial development work, with the potential for future equity and ongoing contribution based on verified performance and mutual agreement.</w:t>
      </w:r>
    </w:p>
    <w:p>
      <w:pPr>
        <w:spacing w:after="60" w:before="60"/>
      </w:pPr>
      <w:r>
        <w:t xml:space="preserve"/>
      </w:r>
    </w:p>
    <w:p>
      <w:pPr>
        <w:spacing w:after="60" w:before="60"/>
      </w:pPr>
      <w:r>
        <w:rPr>
          <w:rFonts w:ascii="Arial" w:cs="Arial" w:eastAsia="Arial" w:hAnsi="Arial"/>
          <w:color w:val="000000"/>
          <w:sz w:val="20"/>
          <w:szCs w:val="20"/>
        </w:rPr>
        <w:t xml:space="preserve">The parties, intending to be legally bound, agree to the following terms.</w:t>
      </w:r>
    </w:p>
    <w:p>
      <w:pPr>
        <w:spacing w:after="180" w:before="180"/>
      </w:pPr>
      <w:r>
        <w:t xml:space="preserve"/>
      </w:r>
    </w:p>
    <w:p>
      <w:pPr>
        <w:pStyle w:val="Heading1"/>
        <w:pBdr>
          <w:bottom w:val="single" w:color="1F3A6E" w:sz="4" w:space="6"/>
        </w:pBdr>
        <w:spacing w:after="120" w:before="400"/>
      </w:pPr>
      <w:r>
        <w:rPr>
          <w:rFonts w:ascii="Arial" w:cs="Arial" w:eastAsia="Arial" w:hAnsi="Arial"/>
          <w:b/>
          <w:bCs/>
          <w:color w:val="1F3A6E"/>
          <w:sz w:val="26"/>
          <w:szCs w:val="26"/>
        </w:rPr>
        <w:t xml:space="preserve">ARTICLE I    ROLE AND RELATIONSHIP</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1.1    Position and Title</w:t>
      </w:r>
    </w:p>
    <w:p>
      <w:pPr>
        <w:spacing w:after="60" w:before="60"/>
      </w:pPr>
      <w:r>
        <w:rPr>
          <w:rFonts w:ascii="Arial" w:cs="Arial" w:eastAsia="Arial" w:hAnsi="Arial"/>
          <w:color w:val="000000"/>
          <w:sz w:val="20"/>
          <w:szCs w:val="20"/>
        </w:rPr>
        <w:t xml:space="preserve">Elad Yaakobovitch is engaged as Technical Engineer and Lead Architect, Orchestration and AI Systems, by Nesting Navigator, LLC DBA MyNookAi.</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1.2    Relationship Nature</w:t>
      </w:r>
    </w:p>
    <w:p>
      <w:pPr>
        <w:spacing w:after="60" w:before="60"/>
      </w:pPr>
      <w:r>
        <w:rPr>
          <w:rFonts w:ascii="Arial" w:cs="Arial" w:eastAsia="Arial" w:hAnsi="Arial"/>
          <w:color w:val="000000"/>
          <w:sz w:val="20"/>
          <w:szCs w:val="20"/>
        </w:rPr>
        <w:t xml:space="preserve">This is strictly an independent contractor relationship. Technical Engineer is not an employee, partner, joint venturer, or agent of Company. Technical Engineer is responsible for all applicable taxes, insurance, and obligations and shall carry no authority to bind Company to any agreement. Technical Engineer is not entitled to any Company benefits including vacation pay, sick leave, retirement, health, or disability benefits of any kind.</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1.3    Professional Responsibilities</w:t>
      </w:r>
    </w:p>
    <w:p>
      <w:pPr>
        <w:spacing w:after="60" w:before="60"/>
      </w:pPr>
      <w:r>
        <w:rPr>
          <w:rFonts w:ascii="Arial" w:cs="Arial" w:eastAsia="Arial" w:hAnsi="Arial"/>
          <w:color w:val="000000"/>
          <w:sz w:val="20"/>
          <w:szCs w:val="20"/>
        </w:rPr>
        <w:t xml:space="preserve">In this role, Technical Engineer shall:</w:t>
      </w:r>
    </w:p>
    <w:p>
      <w:pPr>
        <w:spacing w:after="60" w:before="60"/>
        <w:ind w:left="720" w:hanging="360"/>
      </w:pPr>
      <w:r>
        <w:rPr>
          <w:rFonts w:ascii="Arial" w:cs="Arial" w:eastAsia="Arial" w:hAnsi="Arial"/>
          <w:b/>
          <w:bCs/>
          <w:sz w:val="20"/>
          <w:szCs w:val="20"/>
        </w:rPr>
        <w:t xml:space="preserve">1.    </w:t>
      </w:r>
      <w:r>
        <w:rPr>
          <w:rFonts w:ascii="Arial" w:cs="Arial" w:eastAsia="Arial" w:hAnsi="Arial"/>
          <w:sz w:val="20"/>
          <w:szCs w:val="20"/>
        </w:rPr>
        <w:t xml:space="preserve">Think strategically about the long-term technical health and scalability of the platform.</w:t>
      </w:r>
    </w:p>
    <w:p>
      <w:pPr>
        <w:spacing w:after="60" w:before="60"/>
        <w:ind w:left="720" w:hanging="360"/>
      </w:pPr>
      <w:r>
        <w:rPr>
          <w:rFonts w:ascii="Arial" w:cs="Arial" w:eastAsia="Arial" w:hAnsi="Arial"/>
          <w:b/>
          <w:bCs/>
          <w:sz w:val="20"/>
          <w:szCs w:val="20"/>
        </w:rPr>
        <w:t xml:space="preserve">2.    </w:t>
      </w:r>
      <w:r>
        <w:rPr>
          <w:rFonts w:ascii="Arial" w:cs="Arial" w:eastAsia="Arial" w:hAnsi="Arial"/>
          <w:sz w:val="20"/>
          <w:szCs w:val="20"/>
        </w:rPr>
        <w:t xml:space="preserve">Participate in key product and architecture decisions, with primary decision-making authority over technical implementation of the orchestration and AI systems layer.</w:t>
      </w:r>
    </w:p>
    <w:p>
      <w:pPr>
        <w:spacing w:after="60" w:before="60"/>
        <w:ind w:left="720" w:hanging="360"/>
      </w:pPr>
      <w:r>
        <w:rPr>
          <w:rFonts w:ascii="Arial" w:cs="Arial" w:eastAsia="Arial" w:hAnsi="Arial"/>
          <w:b/>
          <w:bCs/>
          <w:sz w:val="20"/>
          <w:szCs w:val="20"/>
        </w:rPr>
        <w:t xml:space="preserve">3.    </w:t>
      </w:r>
      <w:r>
        <w:rPr>
          <w:rFonts w:ascii="Arial" w:cs="Arial" w:eastAsia="Arial" w:hAnsi="Arial"/>
          <w:sz w:val="20"/>
          <w:szCs w:val="20"/>
        </w:rPr>
        <w:t xml:space="preserve">Maintain active, communicative engagement throughout the development lifecycle.</w:t>
      </w:r>
    </w:p>
    <w:p>
      <w:pPr>
        <w:spacing w:after="60" w:before="60"/>
        <w:ind w:left="720" w:hanging="360"/>
      </w:pPr>
      <w:r>
        <w:rPr>
          <w:rFonts w:ascii="Arial" w:cs="Arial" w:eastAsia="Arial" w:hAnsi="Arial"/>
          <w:b/>
          <w:bCs/>
          <w:sz w:val="20"/>
          <w:szCs w:val="20"/>
        </w:rPr>
        <w:t xml:space="preserve">4.    </w:t>
      </w:r>
      <w:r>
        <w:rPr>
          <w:rFonts w:ascii="Arial" w:cs="Arial" w:eastAsia="Arial" w:hAnsi="Arial"/>
          <w:sz w:val="20"/>
          <w:szCs w:val="20"/>
        </w:rPr>
        <w:t xml:space="preserve">Ensure all technical decisions remain consistent with Company product vision, user experience requirements, and functional specifications as defined by Company.</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1.4    Design and Product Authority</w:t>
      </w:r>
    </w:p>
    <w:p>
      <w:pPr>
        <w:spacing w:after="60" w:before="60"/>
      </w:pPr>
      <w:r>
        <w:rPr>
          <w:rFonts w:ascii="Arial" w:cs="Arial" w:eastAsia="Arial" w:hAnsi="Arial"/>
          <w:color w:val="000000"/>
          <w:sz w:val="20"/>
          <w:szCs w:val="20"/>
        </w:rPr>
        <w:t xml:space="preserve">Company retains sole and final approval authority over all product design, user experience flow, feature prioritization, and brand decisions. Technical Engineer's authority is expressly limited to the technical implementation of approved requirements. These two domains are distinct and do not conflict.</w:t>
      </w:r>
    </w:p>
    <w:p>
      <w:pPr>
        <w:spacing w:after="60" w:before="60"/>
      </w:pPr>
      <w:r>
        <w:t xml:space="preserve"/>
      </w:r>
    </w:p>
    <w:p>
      <w:pPr>
        <w:spacing w:after="80" w:before="80"/>
        <w:ind w:left="360"/>
      </w:pPr>
      <w:r>
        <w:rPr>
          <w:rFonts w:ascii="Arial" w:cs="Arial" w:eastAsia="Arial" w:hAnsi="Arial"/>
          <w:i/>
          <w:iCs/>
          <w:color w:val="555555"/>
          <w:sz w:val="18"/>
          <w:szCs w:val="18"/>
        </w:rPr>
        <w:t xml:space="preserve">For clarity: Technical Engineer decides how the platform is built. Company decides what the platform does and how it looks and feels. Both parties acknowledge this division and agree to respect it.</w:t>
      </w:r>
    </w:p>
    <w:p>
      <w:pPr>
        <w:spacing w:after="180" w:before="180"/>
      </w:pPr>
      <w:r>
        <w:t xml:space="preserve"/>
      </w:r>
    </w:p>
    <w:p>
      <w:pPr>
        <w:pStyle w:val="Heading1"/>
        <w:pBdr>
          <w:bottom w:val="single" w:color="1F3A6E" w:sz="4" w:space="6"/>
        </w:pBdr>
        <w:spacing w:after="120" w:before="400"/>
      </w:pPr>
      <w:r>
        <w:rPr>
          <w:rFonts w:ascii="Arial" w:cs="Arial" w:eastAsia="Arial" w:hAnsi="Arial"/>
          <w:b/>
          <w:bCs/>
          <w:color w:val="1F3A6E"/>
          <w:sz w:val="26"/>
          <w:szCs w:val="26"/>
        </w:rPr>
        <w:t xml:space="preserve">ARTICLE II    TECHNICAL SCOPE AND DELIVERABLES</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2.1    Project Scope</w:t>
      </w:r>
    </w:p>
    <w:p>
      <w:pPr>
        <w:spacing w:after="60" w:before="60"/>
      </w:pPr>
      <w:r>
        <w:rPr>
          <w:rFonts w:ascii="Arial" w:cs="Arial" w:eastAsia="Arial" w:hAnsi="Arial"/>
          <w:color w:val="000000"/>
          <w:sz w:val="20"/>
          <w:szCs w:val="20"/>
        </w:rPr>
        <w:t xml:space="preserve">Technical Engineer agrees to design and develop the MyNookAi MVP platform. This is a comprehensive four-phase system guiding users from financial readiness through community integration, including dedicated college sections for New York, Boston, and Chicago.</w:t>
      </w:r>
    </w:p>
    <w:p>
      <w:pPr>
        <w:spacing w:after="120" w:before="120"/>
      </w:pPr>
      <w:r>
        <w:t xml:space="preserve"/>
      </w:r>
    </w:p>
    <w:p>
      <w:pPr>
        <w:spacing w:after="60" w:before="200"/>
      </w:pPr>
      <w:r>
        <w:rPr>
          <w:rFonts w:ascii="Arial" w:cs="Arial" w:eastAsia="Arial" w:hAnsi="Arial"/>
          <w:b/>
          <w:bCs/>
          <w:color w:val="000000"/>
          <w:sz w:val="21"/>
          <w:szCs w:val="21"/>
        </w:rPr>
        <w:t xml:space="preserve">Phase 1    Financial Readiness</w:t>
      </w:r>
    </w:p>
    <w:p>
      <w:pPr>
        <w:spacing w:after="60" w:before="60"/>
      </w:pPr>
      <w:r>
        <w:rPr>
          <w:rFonts w:ascii="Arial" w:cs="Arial" w:eastAsia="Arial" w:hAnsi="Arial"/>
          <w:color w:val="000000"/>
          <w:sz w:val="20"/>
          <w:szCs w:val="20"/>
        </w:rPr>
        <w:t xml:space="preserve">Core assessment tools where users input financial data to receive:</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Personalized price range recommendations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All necessary calculators including budget and affordability calculator, rent versus buy, and mortgage calculator</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Realistic savings timelines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Qualification assessments for applicable programs</w:t>
      </w:r>
    </w:p>
    <w:p>
      <w:pPr>
        <w:spacing w:after="80" w:before="80"/>
        <w:ind w:left="360"/>
      </w:pPr>
      <w:r>
        <w:rPr>
          <w:rFonts w:ascii="Arial" w:cs="Arial" w:eastAsia="Arial" w:hAnsi="Arial"/>
          <w:i/>
          <w:iCs/>
          <w:color w:val="555555"/>
          <w:sz w:val="18"/>
          <w:szCs w:val="18"/>
        </w:rPr>
        <w:t xml:space="preserve">See Addendum A for the complete Phase 1 feature list.</w:t>
      </w:r>
    </w:p>
    <w:p>
      <w:pPr>
        <w:spacing w:after="120" w:before="120"/>
      </w:pPr>
      <w:r>
        <w:t xml:space="preserve"/>
      </w:r>
    </w:p>
    <w:p>
      <w:pPr>
        <w:spacing w:after="60" w:before="200"/>
      </w:pPr>
      <w:r>
        <w:rPr>
          <w:rFonts w:ascii="Arial" w:cs="Arial" w:eastAsia="Arial" w:hAnsi="Arial"/>
          <w:b/>
          <w:bCs/>
          <w:color w:val="000000"/>
          <w:sz w:val="21"/>
          <w:szCs w:val="21"/>
        </w:rPr>
        <w:t xml:space="preserve">Phase 2    Home Search and Transaction Guidance</w:t>
      </w:r>
    </w:p>
    <w:p>
      <w:pPr>
        <w:spacing w:after="60" w:before="60"/>
      </w:pPr>
      <w:r>
        <w:rPr>
          <w:rFonts w:ascii="Arial" w:cs="Arial" w:eastAsia="Arial" w:hAnsi="Arial"/>
          <w:color w:val="000000"/>
          <w:sz w:val="20"/>
          <w:szCs w:val="20"/>
        </w:rPr>
        <w:t xml:space="preserve">Integration and build-out to include:</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MLS system integration for property search in New York, Boston, and Chicago</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Timeline tracker covering inspections, appraisals, all document due dates, closing procedures, and checklist</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Comparative market analysis tools to support user decision-making</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Market condition and supply-demand context for each launch city</w:t>
      </w:r>
    </w:p>
    <w:p>
      <w:pPr>
        <w:spacing w:after="120" w:before="120"/>
      </w:pPr>
      <w:r>
        <w:t xml:space="preserve"/>
      </w:r>
    </w:p>
    <w:p>
      <w:pPr>
        <w:spacing w:after="60" w:before="200"/>
      </w:pPr>
      <w:r>
        <w:rPr>
          <w:rFonts w:ascii="Arial" w:cs="Arial" w:eastAsia="Arial" w:hAnsi="Arial"/>
          <w:b/>
          <w:bCs/>
          <w:color w:val="000000"/>
          <w:sz w:val="21"/>
          <w:szCs w:val="21"/>
        </w:rPr>
        <w:t xml:space="preserve">Phase 3    Move Logistics</w:t>
      </w:r>
    </w:p>
    <w:p>
      <w:pPr>
        <w:spacing w:after="60" w:before="60"/>
      </w:pPr>
      <w:r>
        <w:rPr>
          <w:rFonts w:ascii="Arial" w:cs="Arial" w:eastAsia="Arial" w:hAnsi="Arial"/>
          <w:color w:val="000000"/>
          <w:sz w:val="20"/>
          <w:szCs w:val="20"/>
        </w:rPr>
        <w:t xml:space="preserve">Development of hyper-local, customized tools including:</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Moving timelines tailored to each user</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Utility setup guides by city</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Packing methodology tools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Local permit and registration protocols by jurisdiction</w:t>
      </w:r>
    </w:p>
    <w:p>
      <w:pPr>
        <w:spacing w:after="120" w:before="120"/>
      </w:pPr>
      <w:r>
        <w:t xml:space="preserve"/>
      </w:r>
    </w:p>
    <w:p>
      <w:pPr>
        <w:spacing w:after="60" w:before="200"/>
      </w:pPr>
      <w:r>
        <w:rPr>
          <w:rFonts w:ascii="Arial" w:cs="Arial" w:eastAsia="Arial" w:hAnsi="Arial"/>
          <w:b/>
          <w:bCs/>
          <w:color w:val="000000"/>
          <w:sz w:val="21"/>
          <w:szCs w:val="21"/>
        </w:rPr>
        <w:t xml:space="preserve">Phase 4    The Life Engine</w:t>
      </w:r>
    </w:p>
    <w:p>
      <w:pPr>
        <w:spacing w:after="60" w:before="60"/>
      </w:pPr>
      <w:r>
        <w:rPr>
          <w:rFonts w:ascii="Arial" w:cs="Arial" w:eastAsia="Arial" w:hAnsi="Arial"/>
          <w:color w:val="000000"/>
          <w:sz w:val="20"/>
          <w:szCs w:val="20"/>
        </w:rPr>
        <w:t xml:space="preserve">Implementation of the platform's community and lifestyle layer, including:</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Event finders and activity matchers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Community trackers to facilitate the transition from new resident to community member</w:t>
      </w:r>
    </w:p>
    <w:p>
      <w:pPr>
        <w:spacing w:after="60" w:before="60"/>
      </w:pPr>
      <w:r>
        <w:t xml:space="preserve"/>
      </w:r>
    </w:p>
    <w:p>
      <w:pPr>
        <w:spacing w:after="60" w:before="60"/>
      </w:pPr>
      <w:r>
        <w:rPr>
          <w:rFonts w:ascii="Arial" w:cs="Arial" w:eastAsia="Arial" w:hAnsi="Arial"/>
          <w:color w:val="000000"/>
          <w:sz w:val="20"/>
          <w:szCs w:val="20"/>
        </w:rPr>
        <w:t xml:space="preserve">Two distinct proprietary features must be fully operational within this phase:</w:t>
      </w:r>
    </w:p>
    <w:p>
      <w:pPr>
        <w:spacing w:after="60" w:before="60"/>
        <w:ind w:left="720" w:hanging="360"/>
      </w:pPr>
      <w:r>
        <w:rPr>
          <w:rFonts w:ascii="Arial" w:cs="Arial" w:eastAsia="Arial" w:hAnsi="Arial"/>
          <w:b/>
          <w:bCs/>
          <w:sz w:val="20"/>
          <w:szCs w:val="20"/>
        </w:rPr>
        <w:t xml:space="preserve">1.    </w:t>
      </w:r>
      <w:r>
        <w:rPr>
          <w:rFonts w:ascii="Arial" w:cs="Arial" w:eastAsia="Arial" w:hAnsi="Arial"/>
          <w:sz w:val="20"/>
          <w:szCs w:val="20"/>
        </w:rPr>
        <w:t xml:space="preserve">The Expanded Neighborhood Concept    A curated, multi-ring approach to local discovery that extends beyond standard proximity search.</w:t>
      </w:r>
    </w:p>
    <w:p>
      <w:pPr>
        <w:spacing w:after="60" w:before="60"/>
        <w:ind w:left="720" w:hanging="360"/>
      </w:pPr>
      <w:r>
        <w:rPr>
          <w:rFonts w:ascii="Arial" w:cs="Arial" w:eastAsia="Arial" w:hAnsi="Arial"/>
          <w:b/>
          <w:bCs/>
          <w:sz w:val="20"/>
          <w:szCs w:val="20"/>
        </w:rPr>
        <w:t xml:space="preserve">2.    </w:t>
      </w:r>
      <w:r>
        <w:rPr>
          <w:rFonts w:ascii="Arial" w:cs="Arial" w:eastAsia="Arial" w:hAnsi="Arial"/>
          <w:sz w:val="20"/>
          <w:szCs w:val="20"/>
        </w:rPr>
        <w:t xml:space="preserve">Bonding Moments    A system of curated at-home activities designed to build relationships and facilitate social connection.</w:t>
      </w:r>
    </w:p>
    <w:p>
      <w:pPr>
        <w:spacing w:after="120" w:before="120"/>
      </w:pPr>
      <w:r>
        <w:t xml:space="preserve"/>
      </w:r>
    </w:p>
    <w:p>
      <w:pPr>
        <w:pStyle w:val="Heading2"/>
        <w:spacing w:after="80" w:before="280"/>
      </w:pPr>
      <w:r>
        <w:rPr>
          <w:rFonts w:ascii="Arial" w:cs="Arial" w:eastAsia="Arial" w:hAnsi="Arial"/>
          <w:b/>
          <w:bCs/>
          <w:color w:val="1F3A6E"/>
          <w:sz w:val="22"/>
          <w:szCs w:val="22"/>
        </w:rPr>
        <w:t xml:space="preserve">2.2    Required Technical Infrastructure</w:t>
      </w:r>
    </w:p>
    <w:p>
      <w:pPr>
        <w:spacing w:after="60" w:before="60"/>
      </w:pPr>
      <w:r>
        <w:rPr>
          <w:rFonts w:ascii="Arial" w:cs="Arial" w:eastAsia="Arial" w:hAnsi="Arial"/>
          <w:color w:val="000000"/>
          <w:sz w:val="20"/>
          <w:szCs w:val="20"/>
        </w:rPr>
        <w:t xml:space="preserve">Technical Engineer must successfully deploy the following:</w:t>
      </w:r>
    </w:p>
    <w:p>
      <w:pPr>
        <w:spacing w:after="60" w:before="60"/>
      </w:pPr>
      <w:r>
        <w:t xml:space="preserve"/>
      </w:r>
    </w:p>
    <w:p>
      <w:pPr>
        <w:spacing w:after="60" w:before="60"/>
        <w:ind w:left="720" w:hanging="360"/>
      </w:pPr>
      <w:r>
        <w:rPr>
          <w:rFonts w:ascii="Arial" w:cs="Arial" w:eastAsia="Arial" w:hAnsi="Arial"/>
          <w:b/>
          <w:bCs/>
          <w:sz w:val="20"/>
          <w:szCs w:val="20"/>
        </w:rPr>
        <w:t xml:space="preserve">1.    </w:t>
      </w:r>
      <w:r>
        <w:rPr>
          <w:rFonts w:ascii="Arial" w:cs="Arial" w:eastAsia="Arial" w:hAnsi="Arial"/>
          <w:sz w:val="20"/>
          <w:szCs w:val="20"/>
        </w:rPr>
        <w:t xml:space="preserve">Authentication and Data Storage</w:t>
      </w:r>
    </w:p>
    <w:p>
      <w:pPr>
        <w:spacing w:after="60" w:before="60"/>
        <w:ind w:left="1080" w:hanging="360"/>
      </w:pPr>
      <w:r>
        <w:rPr>
          <w:rFonts w:ascii="Arial" w:cs="Arial" w:eastAsia="Arial" w:hAnsi="Arial"/>
          <w:sz w:val="20"/>
          <w:szCs w:val="20"/>
        </w:rPr>
        <w:t xml:space="preserve">-    </w:t>
      </w:r>
      <w:r>
        <w:rPr>
          <w:rFonts w:ascii="Arial" w:cs="Arial" w:eastAsia="Arial" w:hAnsi="Arial"/>
          <w:sz w:val="20"/>
          <w:szCs w:val="20"/>
        </w:rPr>
        <w:t xml:space="preserve">Secure user authentication system</w:t>
      </w:r>
    </w:p>
    <w:p>
      <w:pPr>
        <w:spacing w:after="60" w:before="60"/>
        <w:ind w:left="1080" w:hanging="360"/>
      </w:pPr>
      <w:r>
        <w:rPr>
          <w:rFonts w:ascii="Arial" w:cs="Arial" w:eastAsia="Arial" w:hAnsi="Arial"/>
          <w:sz w:val="20"/>
          <w:szCs w:val="20"/>
        </w:rPr>
        <w:t xml:space="preserve">-    </w:t>
      </w:r>
      <w:r>
        <w:rPr>
          <w:rFonts w:ascii="Arial" w:cs="Arial" w:eastAsia="Arial" w:hAnsi="Arial"/>
          <w:sz w:val="20"/>
          <w:szCs w:val="20"/>
        </w:rPr>
        <w:t xml:space="preserve">Reliable, structured data storage with appropriate access controls</w:t>
      </w:r>
    </w:p>
    <w:p>
      <w:pPr>
        <w:spacing w:after="60" w:before="60"/>
      </w:pPr>
      <w:r>
        <w:t xml:space="preserve"/>
      </w:r>
    </w:p>
    <w:p>
      <w:pPr>
        <w:spacing w:after="60" w:before="60"/>
        <w:ind w:left="720" w:hanging="360"/>
      </w:pPr>
      <w:r>
        <w:rPr>
          <w:rFonts w:ascii="Arial" w:cs="Arial" w:eastAsia="Arial" w:hAnsi="Arial"/>
          <w:b/>
          <w:bCs/>
          <w:sz w:val="20"/>
          <w:szCs w:val="20"/>
        </w:rPr>
        <w:t xml:space="preserve">2.    </w:t>
      </w:r>
      <w:r>
        <w:rPr>
          <w:rFonts w:ascii="Arial" w:cs="Arial" w:eastAsia="Arial" w:hAnsi="Arial"/>
          <w:sz w:val="20"/>
          <w:szCs w:val="20"/>
        </w:rPr>
        <w:t xml:space="preserve">Payments and Access Control</w:t>
      </w:r>
    </w:p>
    <w:p>
      <w:pPr>
        <w:spacing w:after="60" w:before="60"/>
        <w:ind w:left="1080" w:hanging="360"/>
      </w:pPr>
      <w:r>
        <w:rPr>
          <w:rFonts w:ascii="Arial" w:cs="Arial" w:eastAsia="Arial" w:hAnsi="Arial"/>
          <w:sz w:val="20"/>
          <w:szCs w:val="20"/>
        </w:rPr>
        <w:t xml:space="preserve">-    </w:t>
      </w:r>
      <w:r>
        <w:rPr>
          <w:rFonts w:ascii="Arial" w:cs="Arial" w:eastAsia="Arial" w:hAnsi="Arial"/>
          <w:sz w:val="20"/>
          <w:szCs w:val="20"/>
        </w:rPr>
        <w:t xml:space="preserve">Stripe payment processing fully integrated</w:t>
      </w:r>
    </w:p>
    <w:p>
      <w:pPr>
        <w:spacing w:after="60" w:before="60"/>
        <w:ind w:left="1080" w:hanging="360"/>
      </w:pPr>
      <w:r>
        <w:rPr>
          <w:rFonts w:ascii="Arial" w:cs="Arial" w:eastAsia="Arial" w:hAnsi="Arial"/>
          <w:sz w:val="20"/>
          <w:szCs w:val="20"/>
        </w:rPr>
        <w:t xml:space="preserve">-    </w:t>
      </w:r>
      <w:r>
        <w:rPr>
          <w:rFonts w:ascii="Arial" w:cs="Arial" w:eastAsia="Arial" w:hAnsi="Arial"/>
          <w:sz w:val="20"/>
          <w:szCs w:val="20"/>
        </w:rPr>
        <w:t xml:space="preserve">Access control distinguishing free-tier from paid-tier users</w:t>
      </w:r>
    </w:p>
    <w:p>
      <w:pPr>
        <w:spacing w:after="60" w:before="60"/>
      </w:pPr>
      <w:r>
        <w:t xml:space="preserve"/>
      </w:r>
    </w:p>
    <w:p>
      <w:pPr>
        <w:spacing w:after="60" w:before="60"/>
        <w:ind w:left="720" w:hanging="360"/>
      </w:pPr>
      <w:r>
        <w:rPr>
          <w:rFonts w:ascii="Arial" w:cs="Arial" w:eastAsia="Arial" w:hAnsi="Arial"/>
          <w:b/>
          <w:bCs/>
          <w:sz w:val="20"/>
          <w:szCs w:val="20"/>
        </w:rPr>
        <w:t xml:space="preserve">3.    </w:t>
      </w:r>
      <w:r>
        <w:rPr>
          <w:rFonts w:ascii="Arial" w:cs="Arial" w:eastAsia="Arial" w:hAnsi="Arial"/>
          <w:sz w:val="20"/>
          <w:szCs w:val="20"/>
        </w:rPr>
        <w:t xml:space="preserve">AI Integration and Memory</w:t>
      </w:r>
    </w:p>
    <w:p>
      <w:pPr>
        <w:spacing w:after="60" w:before="60"/>
        <w:ind w:left="1080" w:hanging="360"/>
      </w:pPr>
      <w:r>
        <w:rPr>
          <w:rFonts w:ascii="Arial" w:cs="Arial" w:eastAsia="Arial" w:hAnsi="Arial"/>
          <w:sz w:val="20"/>
          <w:szCs w:val="20"/>
        </w:rPr>
        <w:t xml:space="preserve">-    </w:t>
      </w:r>
      <w:r>
        <w:rPr>
          <w:rFonts w:ascii="Arial" w:cs="Arial" w:eastAsia="Arial" w:hAnsi="Arial"/>
          <w:sz w:val="20"/>
          <w:szCs w:val="20"/>
        </w:rPr>
        <w:t xml:space="preserve">Full Large Language Model integration using Anthropic Claude and Google Gemini APIs</w:t>
      </w:r>
    </w:p>
    <w:p>
      <w:pPr>
        <w:spacing w:after="60" w:before="60"/>
        <w:ind w:left="1080" w:hanging="360"/>
      </w:pPr>
      <w:r>
        <w:rPr>
          <w:rFonts w:ascii="Arial" w:cs="Arial" w:eastAsia="Arial" w:hAnsi="Arial"/>
          <w:sz w:val="20"/>
          <w:szCs w:val="20"/>
        </w:rPr>
        <w:t xml:space="preserve">-    </w:t>
      </w:r>
      <w:r>
        <w:rPr>
          <w:rFonts w:ascii="Arial" w:cs="Arial" w:eastAsia="Arial" w:hAnsi="Arial"/>
          <w:sz w:val="20"/>
          <w:szCs w:val="20"/>
        </w:rPr>
        <w:t xml:space="preserve">Memory persistence and conversation history across sessions</w:t>
      </w:r>
    </w:p>
    <w:p>
      <w:pPr>
        <w:spacing w:after="60" w:before="60"/>
        <w:ind w:left="1080" w:hanging="360"/>
      </w:pPr>
      <w:r>
        <w:rPr>
          <w:rFonts w:ascii="Arial" w:cs="Arial" w:eastAsia="Arial" w:hAnsi="Arial"/>
          <w:sz w:val="20"/>
          <w:szCs w:val="20"/>
        </w:rPr>
        <w:t xml:space="preserve">-    </w:t>
      </w:r>
      <w:r>
        <w:rPr>
          <w:rFonts w:ascii="Arial" w:cs="Arial" w:eastAsia="Arial" w:hAnsi="Arial"/>
          <w:sz w:val="20"/>
          <w:szCs w:val="20"/>
        </w:rPr>
        <w:t xml:space="preserve">AI conversational output calibrated to match the MyNookAi advisory tone and style guidelines</w:t>
      </w:r>
    </w:p>
    <w:p>
      <w:pPr>
        <w:spacing w:after="60" w:before="60"/>
        <w:ind w:left="1080" w:hanging="360"/>
      </w:pPr>
      <w:r>
        <w:rPr>
          <w:rFonts w:ascii="Arial" w:cs="Arial" w:eastAsia="Arial" w:hAnsi="Arial"/>
          <w:sz w:val="20"/>
          <w:szCs w:val="20"/>
        </w:rPr>
        <w:t xml:space="preserve">-    </w:t>
      </w:r>
      <w:r>
        <w:rPr>
          <w:rFonts w:ascii="Arial" w:cs="Arial" w:eastAsia="Arial" w:hAnsi="Arial"/>
          <w:sz w:val="20"/>
          <w:szCs w:val="20"/>
        </w:rPr>
        <w:t xml:space="preserve">API failure handling and rate limit management</w:t>
      </w:r>
    </w:p>
    <w:p>
      <w:pPr>
        <w:spacing w:after="60" w:before="60"/>
      </w:pPr>
      <w:r>
        <w:t xml:space="preserve"/>
      </w:r>
    </w:p>
    <w:p>
      <w:pPr>
        <w:spacing w:after="60" w:before="60"/>
        <w:ind w:left="720" w:hanging="360"/>
      </w:pPr>
      <w:r>
        <w:rPr>
          <w:rFonts w:ascii="Arial" w:cs="Arial" w:eastAsia="Arial" w:hAnsi="Arial"/>
          <w:b/>
          <w:bCs/>
          <w:sz w:val="20"/>
          <w:szCs w:val="20"/>
        </w:rPr>
        <w:t xml:space="preserve">4.    </w:t>
      </w:r>
      <w:r>
        <w:rPr>
          <w:rFonts w:ascii="Arial" w:cs="Arial" w:eastAsia="Arial" w:hAnsi="Arial"/>
          <w:sz w:val="20"/>
          <w:szCs w:val="20"/>
        </w:rPr>
        <w:t xml:space="preserve">Orchestration Layer</w:t>
      </w:r>
    </w:p>
    <w:p>
      <w:pPr>
        <w:spacing w:after="60" w:before="60"/>
        <w:ind w:left="1080" w:hanging="360"/>
      </w:pPr>
      <w:r>
        <w:rPr>
          <w:rFonts w:ascii="Arial" w:cs="Arial" w:eastAsia="Arial" w:hAnsi="Arial"/>
          <w:sz w:val="20"/>
          <w:szCs w:val="20"/>
        </w:rPr>
        <w:t xml:space="preserve">-    </w:t>
      </w:r>
      <w:r>
        <w:rPr>
          <w:rFonts w:ascii="Arial" w:cs="Arial" w:eastAsia="Arial" w:hAnsi="Arial"/>
          <w:sz w:val="20"/>
          <w:szCs w:val="20"/>
        </w:rPr>
        <w:t xml:space="preserve">Technical Engineer shall serve as Lead Architect of the platform orchestration and AI systems layer</w:t>
      </w:r>
    </w:p>
    <w:p>
      <w:pPr>
        <w:spacing w:after="60" w:before="60"/>
        <w:ind w:left="1080" w:hanging="360"/>
      </w:pPr>
      <w:r>
        <w:rPr>
          <w:rFonts w:ascii="Arial" w:cs="Arial" w:eastAsia="Arial" w:hAnsi="Arial"/>
          <w:sz w:val="20"/>
          <w:szCs w:val="20"/>
        </w:rPr>
        <w:t xml:space="preserve">-    </w:t>
      </w:r>
      <w:r>
        <w:rPr>
          <w:rFonts w:ascii="Arial" w:cs="Arial" w:eastAsia="Arial" w:hAnsi="Arial"/>
          <w:sz w:val="20"/>
          <w:szCs w:val="20"/>
        </w:rPr>
        <w:t xml:space="preserve">All orchestration design decisions are the domain of Technical Engineer, subject to functional requirements set by Company</w:t>
      </w:r>
    </w:p>
    <w:p>
      <w:pPr>
        <w:spacing w:after="60" w:before="60"/>
        <w:ind w:left="1080" w:hanging="360"/>
      </w:pPr>
      <w:r>
        <w:rPr>
          <w:rFonts w:ascii="Arial" w:cs="Arial" w:eastAsia="Arial" w:hAnsi="Arial"/>
          <w:sz w:val="20"/>
          <w:szCs w:val="20"/>
        </w:rPr>
        <w:t xml:space="preserve">-    </w:t>
      </w:r>
      <w:r>
        <w:rPr>
          <w:rFonts w:ascii="Arial" w:cs="Arial" w:eastAsia="Arial" w:hAnsi="Arial"/>
          <w:sz w:val="20"/>
          <w:szCs w:val="20"/>
        </w:rPr>
        <w:t xml:space="preserve">All code and architecture produced remains the sole property of Company per Article VI</w:t>
      </w:r>
    </w:p>
    <w:p>
      <w:pPr>
        <w:spacing w:after="120" w:before="120"/>
      </w:pPr>
      <w:r>
        <w:t xml:space="preserve"/>
      </w:r>
    </w:p>
    <w:p>
      <w:pPr>
        <w:pStyle w:val="Heading2"/>
        <w:spacing w:after="80" w:before="280"/>
      </w:pPr>
      <w:r>
        <w:rPr>
          <w:rFonts w:ascii="Arial" w:cs="Arial" w:eastAsia="Arial" w:hAnsi="Arial"/>
          <w:b/>
          <w:bCs/>
          <w:color w:val="1F3A6E"/>
          <w:sz w:val="22"/>
          <w:szCs w:val="22"/>
        </w:rPr>
        <w:t xml:space="preserve">2.3    Technology Stack Requirements</w:t>
      </w:r>
    </w:p>
    <w:p>
      <w:pPr>
        <w:spacing w:after="60" w:before="60"/>
      </w:pPr>
      <w:r>
        <w:rPr>
          <w:rFonts w:ascii="Arial" w:cs="Arial" w:eastAsia="Arial" w:hAnsi="Arial"/>
          <w:color w:val="000000"/>
          <w:sz w:val="20"/>
          <w:szCs w:val="20"/>
        </w:rPr>
        <w:t xml:space="preserve">Technical Engineer must demonstrate working proficiency in:</w:t>
      </w:r>
    </w:p>
    <w:p>
      <w:pPr>
        <w:spacing w:after="60" w:before="60"/>
      </w:pPr>
      <w:r>
        <w:t xml:space="preserve"/>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Next.js and React    Server-side rendering, API routes, environment configuration, Vercel deployment</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PostgreSQL    Production database setup, migrations, query optimization, Supabase experience</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Authentication    Clerk, NextAuth, or Auth0 implementation, session management, protected routes, user roles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REST APIs    Building and connecting endpoints, error handling, input validation, rate limiting</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LLM API Integration    Anthropic Claude and Gemini APIs, streaming responses, context window management</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Vector Database    Pinecone or equivalent, index creation, embedding storage, similarity queries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Stripe    Subscription payments, checkout sessions, webhooks, customer portal</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Git and CI/CD    Clean commit history, pull requests, deployment pipelines</w:t>
      </w:r>
    </w:p>
    <w:p>
      <w:pPr>
        <w:spacing w:after="120" w:before="120"/>
      </w:pPr>
      <w:r>
        <w:t xml:space="preserve"/>
      </w:r>
    </w:p>
    <w:p>
      <w:pPr>
        <w:pStyle w:val="Heading2"/>
        <w:spacing w:after="80" w:before="280"/>
      </w:pPr>
      <w:r>
        <w:rPr>
          <w:rFonts w:ascii="Arial" w:cs="Arial" w:eastAsia="Arial" w:hAnsi="Arial"/>
          <w:b/>
          <w:bCs/>
          <w:color w:val="1F3A6E"/>
          <w:sz w:val="22"/>
          <w:szCs w:val="22"/>
        </w:rPr>
        <w:t xml:space="preserve">2.4    Source Code and Repository</w:t>
      </w:r>
    </w:p>
    <w:p>
      <w:pPr>
        <w:spacing w:after="60" w:before="60"/>
      </w:pPr>
      <w:r>
        <w:rPr>
          <w:rFonts w:ascii="Arial" w:cs="Arial" w:eastAsia="Arial" w:hAnsi="Arial"/>
          <w:color w:val="000000"/>
          <w:sz w:val="20"/>
          <w:szCs w:val="20"/>
        </w:rPr>
        <w:t xml:space="preserve">All code shall be committed to a Company-owned GitHub repository from the first day of work. Technical Engineer shall have write access during the engagement. Upon termination or completion, all access shall be revoked and the repository remains the sole property of Company. Technical Engineer may not retain personal copies of any proprietary codebase.</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2.5    Systems and Access</w:t>
      </w:r>
    </w:p>
    <w:p>
      <w:pPr>
        <w:spacing w:after="60" w:before="60"/>
      </w:pPr>
      <w:r>
        <w:rPr>
          <w:rFonts w:ascii="Arial" w:cs="Arial" w:eastAsia="Arial" w:hAnsi="Arial"/>
          <w:color w:val="000000"/>
          <w:sz w:val="20"/>
          <w:szCs w:val="20"/>
        </w:rPr>
        <w:t xml:space="preserve">All work must be performed using Company-controlled systems, repositories, and accounts. Technical Engineer shall not maintain exclusive control over any codebase, infrastructure, or credentials. Upon request or termination, Technical Engineer must immediately transfer all credentials, code, access keys, and materials to Company within 7 days.</w:t>
      </w:r>
    </w:p>
    <w:p>
      <w:pPr>
        <w:spacing w:after="180" w:before="180"/>
      </w:pPr>
      <w:r>
        <w:t xml:space="preserve"/>
      </w:r>
    </w:p>
    <w:p>
      <w:pPr>
        <w:pStyle w:val="Heading1"/>
        <w:pBdr>
          <w:bottom w:val="single" w:color="1F3A6E" w:sz="4" w:space="6"/>
        </w:pBdr>
        <w:spacing w:after="120" w:before="400"/>
      </w:pPr>
      <w:r>
        <w:rPr>
          <w:rFonts w:ascii="Arial" w:cs="Arial" w:eastAsia="Arial" w:hAnsi="Arial"/>
          <w:b/>
          <w:bCs/>
          <w:color w:val="1F3A6E"/>
          <w:sz w:val="26"/>
          <w:szCs w:val="26"/>
        </w:rPr>
        <w:t xml:space="preserve">ARTICLE III    TIMELINE AND CASH COMPENSATION</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3.1    Fixed-Price Cash Compensation</w:t>
      </w:r>
    </w:p>
    <w:p>
      <w:pPr>
        <w:spacing w:after="60" w:before="60"/>
      </w:pPr>
      <w:r>
        <w:rPr>
          <w:rFonts w:ascii="Arial" w:cs="Arial" w:eastAsia="Arial" w:hAnsi="Arial"/>
          <w:color w:val="000000"/>
          <w:sz w:val="20"/>
          <w:szCs w:val="20"/>
        </w:rPr>
        <w:t xml:space="preserve">The total fixed cash compensation is __________ USD. Payment is tied strictly to completed and verified technical milestones as outlined below. All payment amounts are to be agreed upon and confirmed in writing by both parties prior to execution of this agreement.</w:t>
      </w:r>
    </w:p>
    <w:p>
      <w:pPr>
        <w:spacing w:after="120" w:before="120"/>
      </w:pPr>
      <w:r>
        <w:t xml:space="preserve"/>
      </w:r>
    </w:p>
    <w:p>
      <w:pPr>
        <w:pStyle w:val="Heading2"/>
        <w:spacing w:after="80" w:before="280"/>
      </w:pPr>
      <w:r>
        <w:rPr>
          <w:rFonts w:ascii="Arial" w:cs="Arial" w:eastAsia="Arial" w:hAnsi="Arial"/>
          <w:b/>
          <w:bCs/>
          <w:color w:val="1F3A6E"/>
          <w:sz w:val="22"/>
          <w:szCs w:val="22"/>
        </w:rPr>
        <w:t xml:space="preserve">3.2    Payment Schedule</w:t>
      </w:r>
    </w:p>
    <w:p>
      <w:pPr>
        <w:spacing w:after="60" w:before="60"/>
      </w:pPr>
      <w:r>
        <w:t xml:space="preserve"/>
      </w:r>
    </w:p>
    <w:p>
      <w:pPr>
        <w:spacing w:after="60" w:before="200"/>
      </w:pPr>
      <w:r>
        <w:rPr>
          <w:rFonts w:ascii="Arial" w:cs="Arial" w:eastAsia="Arial" w:hAnsi="Arial"/>
          <w:b/>
          <w:bCs/>
          <w:color w:val="000000"/>
          <w:sz w:val="21"/>
          <w:szCs w:val="21"/>
        </w:rPr>
        <w:t xml:space="preserve">Payment 1    $__________ USD</w:t>
      </w:r>
    </w:p>
    <w:p>
      <w:pPr>
        <w:spacing w:after="60" w:before="60"/>
      </w:pPr>
      <w:r>
        <w:rPr>
          <w:rFonts w:ascii="Arial" w:cs="Arial" w:eastAsia="Arial" w:hAnsi="Arial"/>
          <w:b/>
          <w:bCs/>
          <w:sz w:val="20"/>
          <w:szCs w:val="20"/>
        </w:rPr>
        <w:t xml:space="preserve">Due Date:    </w:t>
      </w:r>
      <w:r>
        <w:rPr>
          <w:rFonts w:ascii="Arial" w:cs="Arial" w:eastAsia="Arial" w:hAnsi="Arial"/>
          <w:sz w:val="20"/>
          <w:szCs w:val="20"/>
        </w:rPr>
        <w:t xml:space="preserve">May 15, 2026, upon execution of this agreement</w:t>
      </w:r>
    </w:p>
    <w:p>
      <w:pPr>
        <w:spacing w:after="60" w:before="60"/>
      </w:pPr>
      <w:r>
        <w:rPr>
          <w:rFonts w:ascii="Arial" w:cs="Arial" w:eastAsia="Arial" w:hAnsi="Arial"/>
          <w:color w:val="000000"/>
          <w:sz w:val="20"/>
          <w:szCs w:val="20"/>
        </w:rPr>
        <w:t xml:space="preserve">Conditions for release:</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This agreement is fully executed by both parties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Company-owned GitHub repository is created and Technical Engineer has committed initial project structure</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Development environment is configured and documented</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Project kickoff meeting is completed</w:t>
      </w:r>
    </w:p>
    <w:p>
      <w:pPr>
        <w:spacing w:after="120" w:before="120"/>
      </w:pPr>
      <w:r>
        <w:t xml:space="preserve"/>
      </w:r>
    </w:p>
    <w:p>
      <w:pPr>
        <w:spacing w:after="60" w:before="200"/>
      </w:pPr>
      <w:r>
        <w:rPr>
          <w:rFonts w:ascii="Arial" w:cs="Arial" w:eastAsia="Arial" w:hAnsi="Arial"/>
          <w:b/>
          <w:bCs/>
          <w:color w:val="000000"/>
          <w:sz w:val="21"/>
          <w:szCs w:val="21"/>
        </w:rPr>
        <w:t xml:space="preserve">Payment 2    $__________ USD</w:t>
      </w:r>
    </w:p>
    <w:p>
      <w:pPr>
        <w:spacing w:after="60" w:before="60"/>
      </w:pPr>
      <w:r>
        <w:rPr>
          <w:rFonts w:ascii="Arial" w:cs="Arial" w:eastAsia="Arial" w:hAnsi="Arial"/>
          <w:b/>
          <w:bCs/>
          <w:sz w:val="20"/>
          <w:szCs w:val="20"/>
        </w:rPr>
        <w:t xml:space="preserve">Due Date:    </w:t>
      </w:r>
      <w:r>
        <w:rPr>
          <w:rFonts w:ascii="Arial" w:cs="Arial" w:eastAsia="Arial" w:hAnsi="Arial"/>
          <w:sz w:val="20"/>
          <w:szCs w:val="20"/>
        </w:rPr>
        <w:t xml:space="preserve">June 16, 2026    (Milestone Alpha)</w:t>
      </w:r>
    </w:p>
    <w:p>
      <w:pPr>
        <w:spacing w:after="60" w:before="60"/>
      </w:pPr>
      <w:r>
        <w:rPr>
          <w:rFonts w:ascii="Arial" w:cs="Arial" w:eastAsia="Arial" w:hAnsi="Arial"/>
          <w:color w:val="000000"/>
          <w:sz w:val="20"/>
          <w:szCs w:val="20"/>
        </w:rPr>
        <w:t xml:space="preserve">Conditions for release:</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Phase 1 and Phase 2 are functional and deployed to a staging environment</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Stripe payment processing is live and processing test transactions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Core conversational AI is integrated with functional responses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Conversation persistence is operational across sessions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No critical errors present, as defined in Section 3.6</w:t>
      </w:r>
    </w:p>
    <w:p>
      <w:pPr>
        <w:spacing w:after="120" w:before="120"/>
      </w:pPr>
      <w:r>
        <w:t xml:space="preserve"/>
      </w:r>
    </w:p>
    <w:p>
      <w:pPr>
        <w:spacing w:after="60" w:before="200"/>
      </w:pPr>
      <w:r>
        <w:rPr>
          <w:rFonts w:ascii="Arial" w:cs="Arial" w:eastAsia="Arial" w:hAnsi="Arial"/>
          <w:b/>
          <w:bCs/>
          <w:color w:val="000000"/>
          <w:sz w:val="21"/>
          <w:szCs w:val="21"/>
        </w:rPr>
        <w:t xml:space="preserve">Payment 3    $__________ USD</w:t>
      </w:r>
    </w:p>
    <w:p>
      <w:pPr>
        <w:spacing w:after="60" w:before="60"/>
      </w:pPr>
      <w:r>
        <w:rPr>
          <w:rFonts w:ascii="Arial" w:cs="Arial" w:eastAsia="Arial" w:hAnsi="Arial"/>
          <w:b/>
          <w:bCs/>
          <w:sz w:val="20"/>
          <w:szCs w:val="20"/>
        </w:rPr>
        <w:t xml:space="preserve">Due Date:    </w:t>
      </w:r>
      <w:r>
        <w:rPr>
          <w:rFonts w:ascii="Arial" w:cs="Arial" w:eastAsia="Arial" w:hAnsi="Arial"/>
          <w:sz w:val="20"/>
          <w:szCs w:val="20"/>
        </w:rPr>
        <w:t xml:space="preserve">July 1, 2026</w:t>
      </w:r>
    </w:p>
    <w:p>
      <w:pPr>
        <w:spacing w:after="60" w:before="60"/>
      </w:pPr>
      <w:r>
        <w:rPr>
          <w:rFonts w:ascii="Arial" w:cs="Arial" w:eastAsia="Arial" w:hAnsi="Arial"/>
          <w:color w:val="000000"/>
          <w:sz w:val="20"/>
          <w:szCs w:val="20"/>
        </w:rPr>
        <w:t xml:space="preserve">Conditions for release:</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Phase 3 move logistics features are integrated and functional</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Phase 4 Life Engine infrastructure is deployed including Expanded Neighborhood and Bonding Moments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AI conversational data and memory architecture are refined and operating to Company standard</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No critical errors present</w:t>
      </w:r>
    </w:p>
    <w:p>
      <w:pPr>
        <w:spacing w:after="120" w:before="120"/>
      </w:pPr>
      <w:r>
        <w:t xml:space="preserve"/>
      </w:r>
    </w:p>
    <w:p>
      <w:pPr>
        <w:spacing w:after="60" w:before="200"/>
      </w:pPr>
      <w:r>
        <w:rPr>
          <w:rFonts w:ascii="Arial" w:cs="Arial" w:eastAsia="Arial" w:hAnsi="Arial"/>
          <w:b/>
          <w:bCs/>
          <w:color w:val="000000"/>
          <w:sz w:val="21"/>
          <w:szCs w:val="21"/>
        </w:rPr>
        <w:t xml:space="preserve">Payment 4    $__________ USD</w:t>
      </w:r>
    </w:p>
    <w:p>
      <w:pPr>
        <w:spacing w:after="60" w:before="60"/>
      </w:pPr>
      <w:r>
        <w:rPr>
          <w:rFonts w:ascii="Arial" w:cs="Arial" w:eastAsia="Arial" w:hAnsi="Arial"/>
          <w:b/>
          <w:bCs/>
          <w:sz w:val="20"/>
          <w:szCs w:val="20"/>
        </w:rPr>
        <w:t xml:space="preserve">Due Date:    </w:t>
      </w:r>
      <w:r>
        <w:rPr>
          <w:rFonts w:ascii="Arial" w:cs="Arial" w:eastAsia="Arial" w:hAnsi="Arial"/>
          <w:sz w:val="20"/>
          <w:szCs w:val="20"/>
        </w:rPr>
        <w:t xml:space="preserve">July 15, 2026    (Final Completion)</w:t>
      </w:r>
    </w:p>
    <w:p>
      <w:pPr>
        <w:spacing w:after="60" w:before="60"/>
      </w:pPr>
      <w:r>
        <w:rPr>
          <w:rFonts w:ascii="Arial" w:cs="Arial" w:eastAsia="Arial" w:hAnsi="Arial"/>
          <w:color w:val="000000"/>
          <w:sz w:val="20"/>
          <w:szCs w:val="20"/>
        </w:rPr>
        <w:t xml:space="preserve">Conditions for release:</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Platform is fully deployed to custom domain with SSL</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Mobile-first responsiveness is implemented across all phases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Page load time is under 3 seconds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All critical bugs are resolved</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Platform is launch-ready</w:t>
      </w:r>
    </w:p>
    <w:p>
      <w:pPr>
        <w:spacing w:after="120" w:before="120"/>
      </w:pPr>
      <w:r>
        <w:t xml:space="preserve"/>
      </w:r>
    </w:p>
    <w:p>
      <w:pPr>
        <w:pStyle w:val="Heading2"/>
        <w:spacing w:after="80" w:before="280"/>
      </w:pPr>
      <w:r>
        <w:rPr>
          <w:rFonts w:ascii="Arial" w:cs="Arial" w:eastAsia="Arial" w:hAnsi="Arial"/>
          <w:b/>
          <w:bCs/>
          <w:color w:val="1F3A6E"/>
          <w:sz w:val="22"/>
          <w:szCs w:val="22"/>
        </w:rPr>
        <w:t xml:space="preserve">3.3    Milestone Review Process</w:t>
      </w:r>
    </w:p>
    <w:p>
      <w:pPr>
        <w:spacing w:after="60" w:before="60"/>
      </w:pPr>
      <w:r>
        <w:rPr>
          <w:rFonts w:ascii="Arial" w:cs="Arial" w:eastAsia="Arial" w:hAnsi="Arial"/>
          <w:color w:val="000000"/>
          <w:sz w:val="20"/>
          <w:szCs w:val="20"/>
        </w:rPr>
        <w:t xml:space="preserve">Upon delivery of each milestone, the following process applies:</w:t>
      </w:r>
    </w:p>
    <w:p>
      <w:pPr>
        <w:spacing w:after="60" w:before="60"/>
        <w:ind w:left="720" w:hanging="360"/>
      </w:pPr>
      <w:r>
        <w:rPr>
          <w:rFonts w:ascii="Arial" w:cs="Arial" w:eastAsia="Arial" w:hAnsi="Arial"/>
          <w:b/>
          <w:bCs/>
          <w:sz w:val="20"/>
          <w:szCs w:val="20"/>
        </w:rPr>
        <w:t xml:space="preserve">1.    </w:t>
      </w:r>
      <w:r>
        <w:rPr>
          <w:rFonts w:ascii="Arial" w:cs="Arial" w:eastAsia="Arial" w:hAnsi="Arial"/>
          <w:sz w:val="20"/>
          <w:szCs w:val="20"/>
        </w:rPr>
        <w:t xml:space="preserve">Technical Engineer shall notify Company in writing that the milestone is ready for review.</w:t>
      </w:r>
    </w:p>
    <w:p>
      <w:pPr>
        <w:spacing w:after="60" w:before="60"/>
        <w:ind w:left="720" w:hanging="360"/>
      </w:pPr>
      <w:r>
        <w:rPr>
          <w:rFonts w:ascii="Arial" w:cs="Arial" w:eastAsia="Arial" w:hAnsi="Arial"/>
          <w:b/>
          <w:bCs/>
          <w:sz w:val="20"/>
          <w:szCs w:val="20"/>
        </w:rPr>
        <w:t xml:space="preserve">2.    </w:t>
      </w:r>
      <w:r>
        <w:rPr>
          <w:rFonts w:ascii="Arial" w:cs="Arial" w:eastAsia="Arial" w:hAnsi="Arial"/>
          <w:sz w:val="20"/>
          <w:szCs w:val="20"/>
        </w:rPr>
        <w:t xml:space="preserve">Company shall have 5 business days to review and either approve the milestone in writing or provide a written list of specific deficiencies.</w:t>
      </w:r>
    </w:p>
    <w:p>
      <w:pPr>
        <w:spacing w:after="60" w:before="60"/>
        <w:ind w:left="720" w:hanging="360"/>
      </w:pPr>
      <w:r>
        <w:rPr>
          <w:rFonts w:ascii="Arial" w:cs="Arial" w:eastAsia="Arial" w:hAnsi="Arial"/>
          <w:b/>
          <w:bCs/>
          <w:sz w:val="20"/>
          <w:szCs w:val="20"/>
        </w:rPr>
        <w:t xml:space="preserve">3.    </w:t>
      </w:r>
      <w:r>
        <w:rPr>
          <w:rFonts w:ascii="Arial" w:cs="Arial" w:eastAsia="Arial" w:hAnsi="Arial"/>
          <w:sz w:val="20"/>
          <w:szCs w:val="20"/>
        </w:rPr>
        <w:t xml:space="preserve">If Company fails to respond within 5 business days, the milestone shall be deemed approved and payment becomes due.</w:t>
      </w:r>
    </w:p>
    <w:p>
      <w:pPr>
        <w:spacing w:after="60" w:before="60"/>
        <w:ind w:left="720" w:hanging="360"/>
      </w:pPr>
      <w:r>
        <w:rPr>
          <w:rFonts w:ascii="Arial" w:cs="Arial" w:eastAsia="Arial" w:hAnsi="Arial"/>
          <w:b/>
          <w:bCs/>
          <w:sz w:val="20"/>
          <w:szCs w:val="20"/>
        </w:rPr>
        <w:t xml:space="preserve">4.    </w:t>
      </w:r>
      <w:r>
        <w:rPr>
          <w:rFonts w:ascii="Arial" w:cs="Arial" w:eastAsia="Arial" w:hAnsi="Arial"/>
          <w:sz w:val="20"/>
          <w:szCs w:val="20"/>
        </w:rPr>
        <w:t xml:space="preserve">If deficiencies are identified, Technical Engineer shall have 5 business days to address each listed item and resubmit.</w:t>
      </w:r>
    </w:p>
    <w:p>
      <w:pPr>
        <w:spacing w:after="60" w:before="60"/>
        <w:ind w:left="720" w:hanging="360"/>
      </w:pPr>
      <w:r>
        <w:rPr>
          <w:rFonts w:ascii="Arial" w:cs="Arial" w:eastAsia="Arial" w:hAnsi="Arial"/>
          <w:b/>
          <w:bCs/>
          <w:sz w:val="20"/>
          <w:szCs w:val="20"/>
        </w:rPr>
        <w:t xml:space="preserve">5.    </w:t>
      </w:r>
      <w:r>
        <w:rPr>
          <w:rFonts w:ascii="Arial" w:cs="Arial" w:eastAsia="Arial" w:hAnsi="Arial"/>
          <w:sz w:val="20"/>
          <w:szCs w:val="20"/>
        </w:rPr>
        <w:t xml:space="preserve">Company shall re-review within 3 business days of resubmission.</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3.4    Late Delivery</w:t>
      </w:r>
    </w:p>
    <w:p>
      <w:pPr>
        <w:spacing w:after="60" w:before="60"/>
      </w:pPr>
      <w:r>
        <w:rPr>
          <w:rFonts w:ascii="Arial" w:cs="Arial" w:eastAsia="Arial" w:hAnsi="Arial"/>
          <w:color w:val="000000"/>
          <w:sz w:val="20"/>
          <w:szCs w:val="20"/>
        </w:rPr>
        <w:t xml:space="preserve">If Technical Engineer fails to deliver a milestone within 7 days of the target date without a written extension agreed upon by both parties, Company may withhold payment and, at its discretion, terminate this Agreement per Article IX.</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3.5    Change Order Process</w:t>
      </w:r>
    </w:p>
    <w:p>
      <w:pPr>
        <w:spacing w:after="60" w:before="60"/>
      </w:pPr>
      <w:r>
        <w:rPr>
          <w:rFonts w:ascii="Arial" w:cs="Arial" w:eastAsia="Arial" w:hAnsi="Arial"/>
          <w:color w:val="000000"/>
          <w:sz w:val="20"/>
          <w:szCs w:val="20"/>
        </w:rPr>
        <w:t xml:space="preserve">The scope defined in Article II is fixed. Any request to add, remove, or materially change a deliverable must be submitted in writing and agreed upon by both parties before work begins. Additional scope requires a separately executed change order with agreed compensation. No verbal change orders are valid.</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3.6    Definition of Critical Error</w:t>
      </w:r>
    </w:p>
    <w:p>
      <w:pPr>
        <w:spacing w:after="60" w:before="60"/>
      </w:pPr>
      <w:r>
        <w:rPr>
          <w:rFonts w:ascii="Arial" w:cs="Arial" w:eastAsia="Arial" w:hAnsi="Arial"/>
          <w:color w:val="000000"/>
          <w:sz w:val="20"/>
          <w:szCs w:val="20"/>
        </w:rPr>
        <w:t xml:space="preserve">A critical error is defined as a defect that prevents a core intended feature from functioning entirely, making the platform unusable for its primary purpose. The following do not constitute critical errors: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UI preferences or aesthetic differences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Non-blocking bugs that do not prevent core functionality</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Performance optimizations beyond the stated 3-second load time requirement</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Feature enhancement requests not included in the original scope</w:t>
      </w:r>
    </w:p>
    <w:p>
      <w:pPr>
        <w:spacing w:after="180" w:before="180"/>
      </w:pPr>
      <w:r>
        <w:t xml:space="preserve"/>
      </w:r>
    </w:p>
    <w:p>
      <w:pPr>
        <w:pStyle w:val="Heading1"/>
        <w:pBdr>
          <w:bottom w:val="single" w:color="1F3A6E" w:sz="4" w:space="6"/>
        </w:pBdr>
        <w:spacing w:after="120" w:before="400"/>
      </w:pPr>
      <w:r>
        <w:rPr>
          <w:rFonts w:ascii="Arial" w:cs="Arial" w:eastAsia="Arial" w:hAnsi="Arial"/>
          <w:b/>
          <w:bCs/>
          <w:color w:val="1F3A6E"/>
          <w:sz w:val="26"/>
          <w:szCs w:val="26"/>
        </w:rPr>
        <w:t xml:space="preserve">ARTICLE IV    FUTURE PARTNERSHIP AND EQUITY REVIEW</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4.1    Review Trigger</w:t>
      </w:r>
    </w:p>
    <w:p>
      <w:pPr>
        <w:spacing w:after="60" w:before="60"/>
      </w:pPr>
      <w:r>
        <w:rPr>
          <w:rFonts w:ascii="Arial" w:cs="Arial" w:eastAsia="Arial" w:hAnsi="Arial"/>
          <w:color w:val="000000"/>
          <w:sz w:val="20"/>
          <w:szCs w:val="20"/>
        </w:rPr>
        <w:t xml:space="preserve">No equity is granted, promised, or guaranteed by this agreement. On July 1, 2026, Company and Technical Engineer will hold a formal review to discuss the future working relationship and evaluate whether an ongoing engagement is mutually beneficial.</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4.2    Equity Contingency</w:t>
      </w:r>
    </w:p>
    <w:p>
      <w:pPr>
        <w:spacing w:after="60" w:before="60"/>
      </w:pPr>
      <w:r>
        <w:rPr>
          <w:rFonts w:ascii="Arial" w:cs="Arial" w:eastAsia="Arial" w:hAnsi="Arial"/>
          <w:color w:val="000000"/>
          <w:sz w:val="20"/>
          <w:szCs w:val="20"/>
        </w:rPr>
        <w:t xml:space="preserve">If the July 1, 2026 review is mutually positive and all core technical milestones have been completed to Company standard, this review may trigger the formal drafting of an Operating Agreement allocating up to 5.0 percent equity to Technical Engineer. A detailed vesting structure will be provided on or before July 3, 2026.</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4.3    Discretionary Nature of Equity</w:t>
      </w:r>
    </w:p>
    <w:p>
      <w:pPr>
        <w:spacing w:after="60" w:before="60"/>
      </w:pPr>
      <w:r>
        <w:rPr>
          <w:rFonts w:ascii="Arial" w:cs="Arial" w:eastAsia="Arial" w:hAnsi="Arial"/>
          <w:color w:val="000000"/>
          <w:sz w:val="20"/>
          <w:szCs w:val="20"/>
        </w:rPr>
        <w:t xml:space="preserve">This review creates no obligation, expressed or implied, to grant equity or draft an Operating Agreement. The decision to proceed with any equity arrangement rests solely with Company. Technical Engineer acknowledges that this section is an expression of intent only and that no equity right vests or accrues under this agreement under any circumstance.</w:t>
      </w:r>
    </w:p>
    <w:p>
      <w:pPr>
        <w:spacing w:after="180" w:before="180"/>
      </w:pPr>
      <w:r>
        <w:t xml:space="preserve"/>
      </w:r>
    </w:p>
    <w:p>
      <w:pPr>
        <w:pStyle w:val="Heading1"/>
        <w:pBdr>
          <w:bottom w:val="single" w:color="1F3A6E" w:sz="4" w:space="6"/>
        </w:pBdr>
        <w:spacing w:after="120" w:before="400"/>
      </w:pPr>
      <w:r>
        <w:rPr>
          <w:rFonts w:ascii="Arial" w:cs="Arial" w:eastAsia="Arial" w:hAnsi="Arial"/>
          <w:b/>
          <w:bCs/>
          <w:color w:val="1F3A6E"/>
          <w:sz w:val="26"/>
          <w:szCs w:val="26"/>
        </w:rPr>
        <w:t xml:space="preserve">ARTICLE V    PERFORMANCE BONUS STRUCTURE</w:t>
      </w:r>
    </w:p>
    <w:p>
      <w:pPr>
        <w:spacing w:after="60" w:before="60"/>
      </w:pPr>
      <w:r>
        <w:t xml:space="preserve"/>
      </w:r>
    </w:p>
    <w:p>
      <w:pPr>
        <w:spacing w:after="60" w:before="60"/>
      </w:pPr>
      <w:r>
        <w:rPr>
          <w:rFonts w:ascii="Arial" w:cs="Arial" w:eastAsia="Arial" w:hAnsi="Arial"/>
          <w:color w:val="000000"/>
          <w:sz w:val="20"/>
          <w:szCs w:val="20"/>
        </w:rPr>
        <w:t xml:space="preserve">In addition to base compensation, Technical Engineer may earn flat-rate performance bonuses tied to specific, verifiable platform metrics measured through October 31, 2027. All metrics shall be verified through Company analytics platforms including Stripe and Google Analytics, or equivalent, and provided to Technical Engineer in writing upon request.</w:t>
      </w:r>
    </w:p>
    <w:p>
      <w:pPr>
        <w:spacing w:after="120" w:before="120"/>
      </w:pPr>
      <w:r>
        <w:t xml:space="preserve"/>
      </w:r>
    </w:p>
    <w:p>
      <w:pPr>
        <w:pStyle w:val="Heading2"/>
        <w:spacing w:after="80" w:before="280"/>
      </w:pPr>
      <w:r>
        <w:rPr>
          <w:rFonts w:ascii="Arial" w:cs="Arial" w:eastAsia="Arial" w:hAnsi="Arial"/>
          <w:b/>
          <w:bCs/>
          <w:color w:val="1F3A6E"/>
          <w:sz w:val="22"/>
          <w:szCs w:val="22"/>
        </w:rPr>
        <w:t xml:space="preserve">5.1    Revenue Milestones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3,000 USD upon reaching 25,000 USD in cumulative gross revenue</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5,000 USD upon reaching 50,000 USD in cumulative gross revenue</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10,000 USD upon reaching 100,000 USD in cumulative gross revenue</w:t>
      </w:r>
    </w:p>
    <w:p>
      <w:pPr>
        <w:spacing w:after="120" w:before="120"/>
      </w:pPr>
      <w:r>
        <w:t xml:space="preserve"/>
      </w:r>
    </w:p>
    <w:p>
      <w:pPr>
        <w:pStyle w:val="Heading2"/>
        <w:spacing w:after="80" w:before="280"/>
      </w:pPr>
      <w:r>
        <w:rPr>
          <w:rFonts w:ascii="Arial" w:cs="Arial" w:eastAsia="Arial" w:hAnsi="Arial"/>
          <w:b/>
          <w:bCs/>
          <w:color w:val="1F3A6E"/>
          <w:sz w:val="22"/>
          <w:szCs w:val="22"/>
        </w:rPr>
        <w:t xml:space="preserve">5.2    Customer Acquisition Milestones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500 USD at 50 paid customers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1,000 USD at 100 paid customers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3,000 USD at 200 paid customers</w:t>
      </w:r>
    </w:p>
    <w:p>
      <w:pPr>
        <w:spacing w:after="120" w:before="120"/>
      </w:pPr>
      <w:r>
        <w:t xml:space="preserve"/>
      </w:r>
    </w:p>
    <w:p>
      <w:pPr>
        <w:pStyle w:val="Heading2"/>
        <w:spacing w:after="80" w:before="280"/>
      </w:pPr>
      <w:r>
        <w:rPr>
          <w:rFonts w:ascii="Arial" w:cs="Arial" w:eastAsia="Arial" w:hAnsi="Arial"/>
          <w:b/>
          <w:bCs/>
          <w:color w:val="1F3A6E"/>
          <w:sz w:val="22"/>
          <w:szCs w:val="22"/>
        </w:rPr>
        <w:t xml:space="preserve">5.3    Traffic and Campaign Milestones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2,500 USD at 100,000 unique legitimate platform visitors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500 USD at 5,000 USD in revenue specifically generated from the Allston Christmas Campaign</w:t>
      </w:r>
    </w:p>
    <w:p>
      <w:pPr>
        <w:spacing w:after="180" w:before="180"/>
      </w:pPr>
      <w:r>
        <w:t xml:space="preserve"/>
      </w:r>
    </w:p>
    <w:p>
      <w:pPr>
        <w:pStyle w:val="Heading1"/>
        <w:pBdr>
          <w:bottom w:val="single" w:color="1F3A6E" w:sz="4" w:space="6"/>
        </w:pBdr>
        <w:spacing w:after="120" w:before="400"/>
      </w:pPr>
      <w:r>
        <w:rPr>
          <w:rFonts w:ascii="Arial" w:cs="Arial" w:eastAsia="Arial" w:hAnsi="Arial"/>
          <w:b/>
          <w:bCs/>
          <w:color w:val="1F3A6E"/>
          <w:sz w:val="26"/>
          <w:szCs w:val="26"/>
        </w:rPr>
        <w:t xml:space="preserve">ARTICLE VI    INTELLECTUAL PROPERTY AND CONFIDENTIALITY</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6.1    Work Made For Hire</w:t>
      </w:r>
    </w:p>
    <w:p>
      <w:pPr>
        <w:spacing w:after="60" w:before="60"/>
      </w:pPr>
      <w:r>
        <w:rPr>
          <w:rFonts w:ascii="Arial" w:cs="Arial" w:eastAsia="Arial" w:hAnsi="Arial"/>
          <w:color w:val="000000"/>
          <w:sz w:val="20"/>
          <w:szCs w:val="20"/>
        </w:rPr>
        <w:t xml:space="preserve">All work product created by Technical Engineer under this agreement, including source code, system architecture, orchestration design, algorithms, AI training configurations, and all related materials, is a work made for hire and is the sole and exclusive property of Nesting Navigator, LLC DBA MyNookAi. To the extent any work product does not qualify as work made for hire under applicable law, Technical Engineer irrevocably assigns all rights, title, and interest to Company. Technical Engineer retains no ownership interest in any deliverable, regardless of the creative or technical contribution involved.</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6.2    Pre-Existing Materials</w:t>
      </w:r>
    </w:p>
    <w:p>
      <w:pPr>
        <w:spacing w:after="60" w:before="60"/>
      </w:pPr>
      <w:r>
        <w:rPr>
          <w:rFonts w:ascii="Arial" w:cs="Arial" w:eastAsia="Arial" w:hAnsi="Arial"/>
          <w:color w:val="000000"/>
          <w:sz w:val="20"/>
          <w:szCs w:val="20"/>
        </w:rPr>
        <w:t xml:space="preserve">Technical Engineer retains ownership of any tools, frameworks, or code created prior to and independent of this engagement. To the extent any pre-existing materials are incorporated into the work product, Technical Engineer must notify Company in writing prior to incorporation. Upon incorporation, Technical Engineer grants Company a worldwide, perpetual, royalty-free, irrevocable license to use, modify, and distribute those materials as part of the platform. Technical Engineer warrants that incorporation of any pre-existing materials does not violate any third-party rights or prior agreements.</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6.3    Lead Architect Attribution</w:t>
      </w:r>
    </w:p>
    <w:p>
      <w:pPr>
        <w:spacing w:after="60" w:before="60"/>
      </w:pPr>
      <w:r>
        <w:rPr>
          <w:rFonts w:ascii="Arial" w:cs="Arial" w:eastAsia="Arial" w:hAnsi="Arial"/>
          <w:color w:val="000000"/>
          <w:sz w:val="20"/>
          <w:szCs w:val="20"/>
        </w:rPr>
        <w:t xml:space="preserve">Company acknowledges that Technical Engineer, as Lead Architect, Orchestration and AI Systems, is the primary designer of the platform technical architecture. This contribution will be documented internally. This attribution clause confers no ownership rights and does not modify Section 6.1.</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6.4    Right of First Refusal</w:t>
      </w:r>
    </w:p>
    <w:p>
      <w:pPr>
        <w:spacing w:after="60" w:before="60"/>
      </w:pPr>
      <w:r>
        <w:rPr>
          <w:rFonts w:ascii="Arial" w:cs="Arial" w:eastAsia="Arial" w:hAnsi="Arial"/>
          <w:color w:val="000000"/>
          <w:sz w:val="20"/>
          <w:szCs w:val="20"/>
        </w:rPr>
        <w:t xml:space="preserve">If Company requires material modifications to the platform orchestration layer after Technical Engineer's engagement has ended, Company agrees to offer that work to Technical Engineer first, on commercially reasonable terms, before engaging a third party. Technical Engineer shall have 7 business days to accept or decline. This right applies for 18 months following the end of the engagement.</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6.5    Confidentiality</w:t>
      </w:r>
    </w:p>
    <w:p>
      <w:pPr>
        <w:spacing w:after="60" w:before="60"/>
      </w:pPr>
      <w:r>
        <w:rPr>
          <w:rFonts w:ascii="Arial" w:cs="Arial" w:eastAsia="Arial" w:hAnsi="Arial"/>
          <w:color w:val="000000"/>
          <w:sz w:val="20"/>
          <w:szCs w:val="20"/>
        </w:rPr>
        <w:t xml:space="preserve">Technical Engineer agrees to maintain strict confidentiality of all business plans, product strategy, technical architecture, marketing campaigns, user data, and proprietary systems, including all named campaigns and features. Technical Engineer shall not disclose or use Company confidential information except to perform services under this agreement. This obligation survives termination of this agreement indefinitely.</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6.6    Non-Competition</w:t>
      </w:r>
    </w:p>
    <w:p>
      <w:pPr>
        <w:spacing w:after="60" w:before="60"/>
      </w:pPr>
      <w:r>
        <w:rPr>
          <w:rFonts w:ascii="Arial" w:cs="Arial" w:eastAsia="Arial" w:hAnsi="Arial"/>
          <w:color w:val="000000"/>
          <w:sz w:val="20"/>
          <w:szCs w:val="20"/>
        </w:rPr>
        <w:t xml:space="preserve">During active engagement and for 18 months following termination, Technical Engineer will not develop, launch, or materially contribute to a platform whose primary function is AI-guided home buying or renting assistance for consumers. This restriction is narrowly defined to protect Company's core business and is not intended to prevent Technical Engineer from working in adjacent or unrelated technology fields.</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6.7    Non-Solicitation</w:t>
      </w:r>
    </w:p>
    <w:p>
      <w:pPr>
        <w:spacing w:after="60" w:before="60"/>
      </w:pPr>
      <w:r>
        <w:rPr>
          <w:rFonts w:ascii="Arial" w:cs="Arial" w:eastAsia="Arial" w:hAnsi="Arial"/>
          <w:color w:val="000000"/>
          <w:sz w:val="20"/>
          <w:szCs w:val="20"/>
        </w:rPr>
        <w:t xml:space="preserve">During the term and for 24 months following termination, Technical Engineer will not directly solicit Company employees, contractors, or active customers for competitive purposes.</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6.8    Further Assurances</w:t>
      </w:r>
    </w:p>
    <w:p>
      <w:pPr>
        <w:spacing w:after="60" w:before="60"/>
      </w:pPr>
      <w:r>
        <w:rPr>
          <w:rFonts w:ascii="Arial" w:cs="Arial" w:eastAsia="Arial" w:hAnsi="Arial"/>
          <w:color w:val="000000"/>
          <w:sz w:val="20"/>
          <w:szCs w:val="20"/>
        </w:rPr>
        <w:t xml:space="preserve">Technical Engineer agrees to execute any further documents reasonably necessary to confirm Company's ownership of all work product and intellectual property developed under this agreement.</w:t>
      </w:r>
    </w:p>
    <w:p>
      <w:pPr>
        <w:spacing w:after="180" w:before="180"/>
      </w:pPr>
      <w:r>
        <w:t xml:space="preserve"/>
      </w:r>
    </w:p>
    <w:p>
      <w:pPr>
        <w:pStyle w:val="Heading1"/>
        <w:pBdr>
          <w:bottom w:val="single" w:color="1F3A6E" w:sz="4" w:space="6"/>
        </w:pBdr>
        <w:spacing w:after="120" w:before="400"/>
      </w:pPr>
      <w:r>
        <w:rPr>
          <w:rFonts w:ascii="Arial" w:cs="Arial" w:eastAsia="Arial" w:hAnsi="Arial"/>
          <w:b/>
          <w:bCs/>
          <w:color w:val="1F3A6E"/>
          <w:sz w:val="26"/>
          <w:szCs w:val="26"/>
        </w:rPr>
        <w:t xml:space="preserve">ARTICLE VII    WARRANTIES AND INDEMNIFICATION</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7.1    Warranties by Technical Engineer</w:t>
      </w:r>
    </w:p>
    <w:p>
      <w:pPr>
        <w:spacing w:after="60" w:before="60"/>
      </w:pPr>
      <w:r>
        <w:rPr>
          <w:rFonts w:ascii="Arial" w:cs="Arial" w:eastAsia="Arial" w:hAnsi="Arial"/>
          <w:color w:val="000000"/>
          <w:sz w:val="20"/>
          <w:szCs w:val="20"/>
        </w:rPr>
        <w:t xml:space="preserve">Technical Engineer represents and warrants that:</w:t>
      </w:r>
    </w:p>
    <w:p>
      <w:pPr>
        <w:spacing w:after="60" w:before="60"/>
        <w:ind w:left="720" w:hanging="360"/>
      </w:pPr>
      <w:r>
        <w:rPr>
          <w:rFonts w:ascii="Arial" w:cs="Arial" w:eastAsia="Arial" w:hAnsi="Arial"/>
          <w:b/>
          <w:bCs/>
          <w:sz w:val="20"/>
          <w:szCs w:val="20"/>
        </w:rPr>
        <w:t xml:space="preserve">1.    </w:t>
      </w:r>
      <w:r>
        <w:rPr>
          <w:rFonts w:ascii="Arial" w:cs="Arial" w:eastAsia="Arial" w:hAnsi="Arial"/>
          <w:sz w:val="20"/>
          <w:szCs w:val="20"/>
        </w:rPr>
        <w:t xml:space="preserve">All work product is original and does not infringe the intellectual property, trademark, copyright, or patent rights of any third party.</w:t>
      </w:r>
    </w:p>
    <w:p>
      <w:pPr>
        <w:spacing w:after="60" w:before="60"/>
        <w:ind w:left="720" w:hanging="360"/>
      </w:pPr>
      <w:r>
        <w:rPr>
          <w:rFonts w:ascii="Arial" w:cs="Arial" w:eastAsia="Arial" w:hAnsi="Arial"/>
          <w:b/>
          <w:bCs/>
          <w:sz w:val="20"/>
          <w:szCs w:val="20"/>
        </w:rPr>
        <w:t xml:space="preserve">2.    </w:t>
      </w:r>
      <w:r>
        <w:rPr>
          <w:rFonts w:ascii="Arial" w:cs="Arial" w:eastAsia="Arial" w:hAnsi="Arial"/>
          <w:sz w:val="20"/>
          <w:szCs w:val="20"/>
        </w:rPr>
        <w:t xml:space="preserve">Work product contains no malicious code, backdoors, viruses, logic locks, time bombs, trap doors, or other disabling devices or unauthorized access mechanisms.</w:t>
      </w:r>
    </w:p>
    <w:p>
      <w:pPr>
        <w:spacing w:after="60" w:before="60"/>
        <w:ind w:left="720" w:hanging="360"/>
      </w:pPr>
      <w:r>
        <w:rPr>
          <w:rFonts w:ascii="Arial" w:cs="Arial" w:eastAsia="Arial" w:hAnsi="Arial"/>
          <w:b/>
          <w:bCs/>
          <w:sz w:val="20"/>
          <w:szCs w:val="20"/>
        </w:rPr>
        <w:t xml:space="preserve">3.    </w:t>
      </w:r>
      <w:r>
        <w:rPr>
          <w:rFonts w:ascii="Arial" w:cs="Arial" w:eastAsia="Arial" w:hAnsi="Arial"/>
          <w:sz w:val="20"/>
          <w:szCs w:val="20"/>
        </w:rPr>
        <w:t xml:space="preserve">All services will be performed in a professional and workmanlike manner consistent with industry standards, using skilled and competent methods.</w:t>
      </w:r>
    </w:p>
    <w:p>
      <w:pPr>
        <w:spacing w:after="60" w:before="60"/>
        <w:ind w:left="720" w:hanging="360"/>
      </w:pPr>
      <w:r>
        <w:rPr>
          <w:rFonts w:ascii="Arial" w:cs="Arial" w:eastAsia="Arial" w:hAnsi="Arial"/>
          <w:b/>
          <w:bCs/>
          <w:sz w:val="20"/>
          <w:szCs w:val="20"/>
        </w:rPr>
        <w:t xml:space="preserve">4.    </w:t>
      </w:r>
      <w:r>
        <w:rPr>
          <w:rFonts w:ascii="Arial" w:cs="Arial" w:eastAsia="Arial" w:hAnsi="Arial"/>
          <w:sz w:val="20"/>
          <w:szCs w:val="20"/>
        </w:rPr>
        <w:t xml:space="preserve">Technical Engineer has full right and authority to enter into this agreement and is not bound by any existing obligation that conflicts with or is inconsistent with this agreement.</w:t>
      </w:r>
    </w:p>
    <w:p>
      <w:pPr>
        <w:spacing w:after="60" w:before="60"/>
      </w:pPr>
      <w:r>
        <w:t xml:space="preserve"/>
      </w:r>
    </w:p>
    <w:p>
      <w:pPr>
        <w:spacing w:after="60" w:before="60"/>
      </w:pPr>
      <w:r>
        <w:rPr>
          <w:rFonts w:ascii="Arial" w:cs="Arial" w:eastAsia="Arial" w:hAnsi="Arial"/>
          <w:color w:val="000000"/>
          <w:sz w:val="20"/>
          <w:szCs w:val="20"/>
        </w:rPr>
        <w:t xml:space="preserve">Technical Engineer shall correct any material defects discovered within 90 days following delivery of the applicable milestone at no additional cost to Company.</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7.2    Warranties by Company</w:t>
      </w:r>
    </w:p>
    <w:p>
      <w:pPr>
        <w:spacing w:after="60" w:before="60"/>
      </w:pPr>
      <w:r>
        <w:rPr>
          <w:rFonts w:ascii="Arial" w:cs="Arial" w:eastAsia="Arial" w:hAnsi="Arial"/>
          <w:color w:val="000000"/>
          <w:sz w:val="20"/>
          <w:szCs w:val="20"/>
        </w:rPr>
        <w:t xml:space="preserve">Company represents and warrants that:</w:t>
      </w:r>
    </w:p>
    <w:p>
      <w:pPr>
        <w:spacing w:after="60" w:before="60"/>
        <w:ind w:left="720" w:hanging="360"/>
      </w:pPr>
      <w:r>
        <w:rPr>
          <w:rFonts w:ascii="Arial" w:cs="Arial" w:eastAsia="Arial" w:hAnsi="Arial"/>
          <w:b/>
          <w:bCs/>
          <w:sz w:val="20"/>
          <w:szCs w:val="20"/>
        </w:rPr>
        <w:t xml:space="preserve">1.    </w:t>
      </w:r>
      <w:r>
        <w:rPr>
          <w:rFonts w:ascii="Arial" w:cs="Arial" w:eastAsia="Arial" w:hAnsi="Arial"/>
          <w:sz w:val="20"/>
          <w:szCs w:val="20"/>
        </w:rPr>
        <w:t xml:space="preserve">Company has full power and authority to enter into this agreement.</w:t>
      </w:r>
    </w:p>
    <w:p>
      <w:pPr>
        <w:spacing w:after="60" w:before="60"/>
        <w:ind w:left="720" w:hanging="360"/>
      </w:pPr>
      <w:r>
        <w:rPr>
          <w:rFonts w:ascii="Arial" w:cs="Arial" w:eastAsia="Arial" w:hAnsi="Arial"/>
          <w:b/>
          <w:bCs/>
          <w:sz w:val="20"/>
          <w:szCs w:val="20"/>
        </w:rPr>
        <w:t xml:space="preserve">2.    </w:t>
      </w:r>
      <w:r>
        <w:rPr>
          <w:rFonts w:ascii="Arial" w:cs="Arial" w:eastAsia="Arial" w:hAnsi="Arial"/>
          <w:sz w:val="20"/>
          <w:szCs w:val="20"/>
        </w:rPr>
        <w:t xml:space="preserve">Any content, trademarks, or materials provided by Company to Technical Engineer for incorporation into the platform are owned by Company or Company has authorization to use them.</w:t>
      </w:r>
    </w:p>
    <w:p>
      <w:pPr>
        <w:spacing w:after="60" w:before="60"/>
        <w:ind w:left="720" w:hanging="360"/>
      </w:pPr>
      <w:r>
        <w:rPr>
          <w:rFonts w:ascii="Arial" w:cs="Arial" w:eastAsia="Arial" w:hAnsi="Arial"/>
          <w:b/>
          <w:bCs/>
          <w:sz w:val="20"/>
          <w:szCs w:val="20"/>
        </w:rPr>
        <w:t xml:space="preserve">3.    </w:t>
      </w:r>
      <w:r>
        <w:rPr>
          <w:rFonts w:ascii="Arial" w:cs="Arial" w:eastAsia="Arial" w:hAnsi="Arial"/>
          <w:sz w:val="20"/>
          <w:szCs w:val="20"/>
        </w:rPr>
        <w:t xml:space="preserve">Company will make timely payments of all amounts earned by Technical Engineer under this agreement upon milestone approval.</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7.3    Indemnification by Technical Engineer</w:t>
      </w:r>
    </w:p>
    <w:p>
      <w:pPr>
        <w:spacing w:after="60" w:before="60"/>
      </w:pPr>
      <w:r>
        <w:rPr>
          <w:rFonts w:ascii="Arial" w:cs="Arial" w:eastAsia="Arial" w:hAnsi="Arial"/>
          <w:color w:val="000000"/>
          <w:sz w:val="20"/>
          <w:szCs w:val="20"/>
        </w:rPr>
        <w:t xml:space="preserve">Technical Engineer agrees to indemnify and hold harmless Company, its officers, members, managers, employees, agents, successors, and assigns from and against any and all claims, damages, liabilities, costs, and expenses, including reasonable attorneys fees, arising from:</w:t>
      </w:r>
    </w:p>
    <w:p>
      <w:pPr>
        <w:spacing w:after="60" w:before="60"/>
        <w:ind w:left="720" w:hanging="360"/>
      </w:pPr>
      <w:r>
        <w:rPr>
          <w:rFonts w:ascii="Arial" w:cs="Arial" w:eastAsia="Arial" w:hAnsi="Arial"/>
          <w:b/>
          <w:bCs/>
          <w:sz w:val="20"/>
          <w:szCs w:val="20"/>
        </w:rPr>
        <w:t xml:space="preserve">1.    </w:t>
      </w:r>
      <w:r>
        <w:rPr>
          <w:rFonts w:ascii="Arial" w:cs="Arial" w:eastAsia="Arial" w:hAnsi="Arial"/>
          <w:sz w:val="20"/>
          <w:szCs w:val="20"/>
        </w:rPr>
        <w:t xml:space="preserve">Any breach of this agreement by Technical Engineer.</w:t>
      </w:r>
    </w:p>
    <w:p>
      <w:pPr>
        <w:spacing w:after="60" w:before="60"/>
        <w:ind w:left="720" w:hanging="360"/>
      </w:pPr>
      <w:r>
        <w:rPr>
          <w:rFonts w:ascii="Arial" w:cs="Arial" w:eastAsia="Arial" w:hAnsi="Arial"/>
          <w:b/>
          <w:bCs/>
          <w:sz w:val="20"/>
          <w:szCs w:val="20"/>
        </w:rPr>
        <w:t xml:space="preserve">2.    </w:t>
      </w:r>
      <w:r>
        <w:rPr>
          <w:rFonts w:ascii="Arial" w:cs="Arial" w:eastAsia="Arial" w:hAnsi="Arial"/>
          <w:sz w:val="20"/>
          <w:szCs w:val="20"/>
        </w:rPr>
        <w:t xml:space="preserve">Any intellectual property infringement caused by Technical Engineer's work product.</w:t>
      </w:r>
    </w:p>
    <w:p>
      <w:pPr>
        <w:spacing w:after="60" w:before="60"/>
        <w:ind w:left="720" w:hanging="360"/>
      </w:pPr>
      <w:r>
        <w:rPr>
          <w:rFonts w:ascii="Arial" w:cs="Arial" w:eastAsia="Arial" w:hAnsi="Arial"/>
          <w:b/>
          <w:bCs/>
          <w:sz w:val="20"/>
          <w:szCs w:val="20"/>
        </w:rPr>
        <w:t xml:space="preserve">3.    </w:t>
      </w:r>
      <w:r>
        <w:rPr>
          <w:rFonts w:ascii="Arial" w:cs="Arial" w:eastAsia="Arial" w:hAnsi="Arial"/>
          <w:sz w:val="20"/>
          <w:szCs w:val="20"/>
        </w:rPr>
        <w:t xml:space="preserve">Technical Engineer's gross negligence or willful misconduct.</w:t>
      </w:r>
    </w:p>
    <w:p>
      <w:pPr>
        <w:spacing w:after="60" w:before="60"/>
        <w:ind w:left="720" w:hanging="360"/>
      </w:pPr>
      <w:r>
        <w:rPr>
          <w:rFonts w:ascii="Arial" w:cs="Arial" w:eastAsia="Arial" w:hAnsi="Arial"/>
          <w:b/>
          <w:bCs/>
          <w:sz w:val="20"/>
          <w:szCs w:val="20"/>
        </w:rPr>
        <w:t xml:space="preserve">4.    </w:t>
      </w:r>
      <w:r>
        <w:rPr>
          <w:rFonts w:ascii="Arial" w:cs="Arial" w:eastAsia="Arial" w:hAnsi="Arial"/>
          <w:sz w:val="20"/>
          <w:szCs w:val="20"/>
        </w:rPr>
        <w:t xml:space="preserve">Any determination by a regulatory body that Technical Engineer is not an independent contractor, including all resulting taxes, assessments, and penalties.</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7.4    Indemnification by Company</w:t>
      </w:r>
    </w:p>
    <w:p>
      <w:pPr>
        <w:spacing w:after="60" w:before="60"/>
      </w:pPr>
      <w:r>
        <w:rPr>
          <w:rFonts w:ascii="Arial" w:cs="Arial" w:eastAsia="Arial" w:hAnsi="Arial"/>
          <w:color w:val="000000"/>
          <w:sz w:val="20"/>
          <w:szCs w:val="20"/>
        </w:rPr>
        <w:t xml:space="preserve">Company agrees to indemnify and hold harmless Technical Engineer from and against all claims arising from Company's own breach of this agreement or Company's operation of its business, provided such claims do not result from Technical Engineer's actions or omissions.</w:t>
      </w:r>
    </w:p>
    <w:p>
      <w:pPr>
        <w:spacing w:after="180" w:before="180"/>
      </w:pPr>
      <w:r>
        <w:t xml:space="preserve"/>
      </w:r>
    </w:p>
    <w:p>
      <w:pPr>
        <w:pStyle w:val="Heading1"/>
        <w:pBdr>
          <w:bottom w:val="single" w:color="1F3A6E" w:sz="4" w:space="6"/>
        </w:pBdr>
        <w:spacing w:after="120" w:before="400"/>
      </w:pPr>
      <w:r>
        <w:rPr>
          <w:rFonts w:ascii="Arial" w:cs="Arial" w:eastAsia="Arial" w:hAnsi="Arial"/>
          <w:b/>
          <w:bCs/>
          <w:color w:val="1F3A6E"/>
          <w:sz w:val="26"/>
          <w:szCs w:val="26"/>
        </w:rPr>
        <w:t xml:space="preserve">ARTICLE VIII    DATA SECURITY AND COMPLIANCE</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8.1    Security Standards</w:t>
      </w:r>
    </w:p>
    <w:p>
      <w:pPr>
        <w:spacing w:after="60" w:before="60"/>
      </w:pPr>
      <w:r>
        <w:rPr>
          <w:rFonts w:ascii="Arial" w:cs="Arial" w:eastAsia="Arial" w:hAnsi="Arial"/>
          <w:color w:val="000000"/>
          <w:sz w:val="20"/>
          <w:szCs w:val="20"/>
        </w:rPr>
        <w:t xml:space="preserve">Technical Engineer is responsible for implementing and maintaining the following security practices throughout all phases of development.</w:t>
      </w:r>
    </w:p>
    <w:p>
      <w:pPr>
        <w:spacing w:after="60" w:before="60"/>
      </w:pPr>
      <w:r>
        <w:t xml:space="preserve"/>
      </w:r>
    </w:p>
    <w:p>
      <w:pPr>
        <w:spacing w:after="60" w:before="200"/>
      </w:pPr>
      <w:r>
        <w:rPr>
          <w:rFonts w:ascii="Arial" w:cs="Arial" w:eastAsia="Arial" w:hAnsi="Arial"/>
          <w:b/>
          <w:bCs/>
          <w:color w:val="000000"/>
          <w:sz w:val="21"/>
          <w:szCs w:val="21"/>
        </w:rPr>
        <w:t xml:space="preserve">Architectural Integrity</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Conduct threat modeling prior to development using a structured analysis framework to identify vulnerability points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Apply zero trust architecture principles: every request, internal or external, must be authenticated, authorized, and encrypted</w:t>
      </w:r>
    </w:p>
    <w:p>
      <w:pPr>
        <w:spacing w:after="60" w:before="60"/>
      </w:pPr>
      <w:r>
        <w:t xml:space="preserve"/>
      </w:r>
    </w:p>
    <w:p>
      <w:pPr>
        <w:spacing w:after="60" w:before="200"/>
      </w:pPr>
      <w:r>
        <w:rPr>
          <w:rFonts w:ascii="Arial" w:cs="Arial" w:eastAsia="Arial" w:hAnsi="Arial"/>
          <w:b/>
          <w:bCs/>
          <w:color w:val="000000"/>
          <w:sz w:val="21"/>
          <w:szCs w:val="21"/>
        </w:rPr>
        <w:t xml:space="preserve">Defensive Development</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Use parameterized queries to eliminate SQL injection exposure</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Implement Argon2 or bcrypt for password hashing</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Enforce Multi-Factor Authentication and use OAuth2 and OpenID Connect for identity management</w:t>
      </w:r>
    </w:p>
    <w:p>
      <w:pPr>
        <w:spacing w:after="60" w:before="60"/>
      </w:pPr>
      <w:r>
        <w:t xml:space="preserve"/>
      </w:r>
    </w:p>
    <w:p>
      <w:pPr>
        <w:spacing w:after="60" w:before="200"/>
      </w:pPr>
      <w:r>
        <w:rPr>
          <w:rFonts w:ascii="Arial" w:cs="Arial" w:eastAsia="Arial" w:hAnsi="Arial"/>
          <w:b/>
          <w:bCs/>
          <w:color w:val="000000"/>
          <w:sz w:val="21"/>
          <w:szCs w:val="21"/>
        </w:rPr>
        <w:t xml:space="preserve">Data and Billing Protection</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Never store raw credit card numbers. Use Stripe tokenization and PCI DSS compliant processing</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Apply AES-256 encryption for sensitive personally identifiable information at rest</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Apply TLS 1.3 for all data in transit</w:t>
      </w:r>
    </w:p>
    <w:p>
      <w:pPr>
        <w:spacing w:after="60" w:before="60"/>
      </w:pPr>
      <w:r>
        <w:t xml:space="preserve"/>
      </w:r>
    </w:p>
    <w:p>
      <w:pPr>
        <w:spacing w:after="60" w:before="200"/>
      </w:pPr>
      <w:r>
        <w:rPr>
          <w:rFonts w:ascii="Arial" w:cs="Arial" w:eastAsia="Arial" w:hAnsi="Arial"/>
          <w:b/>
          <w:bCs/>
          <w:color w:val="000000"/>
          <w:sz w:val="21"/>
          <w:szCs w:val="21"/>
        </w:rPr>
        <w:t xml:space="preserve">Infrastructure Hardening</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Deploy a Web Application Firewall such as Cloudflare or AWS WAF to filter DDoS attacks and common exploits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Never hardcode API keys. Use a secret management tool such as HashiCorp Vault or AWS Secrets Manager</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8.2    Data Breach Reporting</w:t>
      </w:r>
    </w:p>
    <w:p>
      <w:pPr>
        <w:spacing w:after="60" w:before="60"/>
      </w:pPr>
      <w:r>
        <w:rPr>
          <w:rFonts w:ascii="Arial" w:cs="Arial" w:eastAsia="Arial" w:hAnsi="Arial"/>
          <w:color w:val="000000"/>
          <w:sz w:val="20"/>
          <w:szCs w:val="20"/>
        </w:rPr>
        <w:t xml:space="preserve">Technical Engineer shall not misuse, expose, or improperly store user data. Any suspected or confirmed data breach must be reported to Company immediately and no later than 24 hours after discovery.</w:t>
      </w:r>
    </w:p>
    <w:p>
      <w:pPr>
        <w:spacing w:after="180" w:before="180"/>
      </w:pPr>
      <w:r>
        <w:t xml:space="preserve"/>
      </w:r>
    </w:p>
    <w:p>
      <w:pPr>
        <w:pStyle w:val="Heading1"/>
        <w:pBdr>
          <w:bottom w:val="single" w:color="1F3A6E" w:sz="4" w:space="6"/>
        </w:pBdr>
        <w:spacing w:after="120" w:before="400"/>
      </w:pPr>
      <w:r>
        <w:rPr>
          <w:rFonts w:ascii="Arial" w:cs="Arial" w:eastAsia="Arial" w:hAnsi="Arial"/>
          <w:b/>
          <w:bCs/>
          <w:color w:val="1F3A6E"/>
          <w:sz w:val="26"/>
          <w:szCs w:val="26"/>
        </w:rPr>
        <w:t xml:space="preserve">ARTICLE IX    TERMINATION</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9.1    Termination for Cause</w:t>
      </w:r>
    </w:p>
    <w:p>
      <w:pPr>
        <w:spacing w:after="60" w:before="60"/>
      </w:pPr>
      <w:r>
        <w:rPr>
          <w:rFonts w:ascii="Arial" w:cs="Arial" w:eastAsia="Arial" w:hAnsi="Arial"/>
          <w:color w:val="000000"/>
          <w:sz w:val="20"/>
          <w:szCs w:val="20"/>
        </w:rPr>
        <w:t xml:space="preserve">Company may terminate this agreement immediately and without notice for material breach, including but not limited to failure to deliver milestones within agreed timelines, violation of confidentiality obligations, intellectual property infringement, or misconduct.</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9.2    Termination Without Cause</w:t>
      </w:r>
    </w:p>
    <w:p>
      <w:pPr>
        <w:spacing w:after="60" w:before="60"/>
      </w:pPr>
      <w:r>
        <w:rPr>
          <w:rFonts w:ascii="Arial" w:cs="Arial" w:eastAsia="Arial" w:hAnsi="Arial"/>
          <w:color w:val="000000"/>
          <w:sz w:val="20"/>
          <w:szCs w:val="20"/>
        </w:rPr>
        <w:t xml:space="preserve">Either party may terminate this agreement with 30 days written notice. In a without-cause termination by Company, Technical Engineer shall be compensated for all fully completed and verified milestones only. Partially completed milestones are not compensable unless a written change order has defined partial payment terms.</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9.3    Obligations Upon Termination</w:t>
      </w:r>
    </w:p>
    <w:p>
      <w:pPr>
        <w:spacing w:after="60" w:before="60"/>
      </w:pPr>
      <w:r>
        <w:rPr>
          <w:rFonts w:ascii="Arial" w:cs="Arial" w:eastAsia="Arial" w:hAnsi="Arial"/>
          <w:color w:val="000000"/>
          <w:sz w:val="20"/>
          <w:szCs w:val="20"/>
        </w:rPr>
        <w:t xml:space="preserve">Upon termination for any reason, Technical Engineer shall:</w:t>
      </w:r>
    </w:p>
    <w:p>
      <w:pPr>
        <w:spacing w:after="60" w:before="60"/>
        <w:ind w:left="720" w:hanging="360"/>
      </w:pPr>
      <w:r>
        <w:rPr>
          <w:rFonts w:ascii="Arial" w:cs="Arial" w:eastAsia="Arial" w:hAnsi="Arial"/>
          <w:b/>
          <w:bCs/>
          <w:sz w:val="20"/>
          <w:szCs w:val="20"/>
        </w:rPr>
        <w:t xml:space="preserve">1.    </w:t>
      </w:r>
      <w:r>
        <w:rPr>
          <w:rFonts w:ascii="Arial" w:cs="Arial" w:eastAsia="Arial" w:hAnsi="Arial"/>
          <w:sz w:val="20"/>
          <w:szCs w:val="20"/>
        </w:rPr>
        <w:t xml:space="preserve">Cease all work immediately upon the effective date of termination.</w:t>
      </w:r>
    </w:p>
    <w:p>
      <w:pPr>
        <w:spacing w:after="60" w:before="60"/>
        <w:ind w:left="720" w:hanging="360"/>
      </w:pPr>
      <w:r>
        <w:rPr>
          <w:rFonts w:ascii="Arial" w:cs="Arial" w:eastAsia="Arial" w:hAnsi="Arial"/>
          <w:b/>
          <w:bCs/>
          <w:sz w:val="20"/>
          <w:szCs w:val="20"/>
        </w:rPr>
        <w:t xml:space="preserve">2.    </w:t>
      </w:r>
      <w:r>
        <w:rPr>
          <w:rFonts w:ascii="Arial" w:cs="Arial" w:eastAsia="Arial" w:hAnsi="Arial"/>
          <w:sz w:val="20"/>
          <w:szCs w:val="20"/>
        </w:rPr>
        <w:t xml:space="preserve">Return all Company materials, credentials, access keys, and proprietary information within 7 days.</w:t>
      </w:r>
    </w:p>
    <w:p>
      <w:pPr>
        <w:spacing w:after="60" w:before="60"/>
        <w:ind w:left="720" w:hanging="360"/>
      </w:pPr>
      <w:r>
        <w:rPr>
          <w:rFonts w:ascii="Arial" w:cs="Arial" w:eastAsia="Arial" w:hAnsi="Arial"/>
          <w:b/>
          <w:bCs/>
          <w:sz w:val="20"/>
          <w:szCs w:val="20"/>
        </w:rPr>
        <w:t xml:space="preserve">3.    </w:t>
      </w:r>
      <w:r>
        <w:rPr>
          <w:rFonts w:ascii="Arial" w:cs="Arial" w:eastAsia="Arial" w:hAnsi="Arial"/>
          <w:sz w:val="20"/>
          <w:szCs w:val="20"/>
        </w:rPr>
        <w:t xml:space="preserve">Provide reasonable transition assistance for up to 10 business days to ensure continuity of the project.</w:t>
      </w:r>
    </w:p>
    <w:p>
      <w:pPr>
        <w:spacing w:after="60" w:before="60"/>
        <w:ind w:left="720" w:hanging="360"/>
      </w:pPr>
      <w:r>
        <w:rPr>
          <w:rFonts w:ascii="Arial" w:cs="Arial" w:eastAsia="Arial" w:hAnsi="Arial"/>
          <w:b/>
          <w:bCs/>
          <w:sz w:val="20"/>
          <w:szCs w:val="20"/>
        </w:rPr>
        <w:t xml:space="preserve">4.    </w:t>
      </w:r>
      <w:r>
        <w:rPr>
          <w:rFonts w:ascii="Arial" w:cs="Arial" w:eastAsia="Arial" w:hAnsi="Arial"/>
          <w:sz w:val="20"/>
          <w:szCs w:val="20"/>
        </w:rPr>
        <w:t xml:space="preserve">Deliver all work in progress to Company in its current state.</w:t>
      </w:r>
    </w:p>
    <w:p>
      <w:pPr>
        <w:spacing w:after="180" w:before="180"/>
      </w:pPr>
      <w:r>
        <w:t xml:space="preserve"/>
      </w:r>
    </w:p>
    <w:p>
      <w:pPr>
        <w:pStyle w:val="Heading1"/>
        <w:pBdr>
          <w:bottom w:val="single" w:color="1F3A6E" w:sz="4" w:space="6"/>
        </w:pBdr>
        <w:spacing w:after="120" w:before="400"/>
      </w:pPr>
      <w:r>
        <w:rPr>
          <w:rFonts w:ascii="Arial" w:cs="Arial" w:eastAsia="Arial" w:hAnsi="Arial"/>
          <w:b/>
          <w:bCs/>
          <w:color w:val="1F3A6E"/>
          <w:sz w:val="26"/>
          <w:szCs w:val="26"/>
        </w:rPr>
        <w:t xml:space="preserve">ARTICLE X    DISPUTE RESOLUTION AND GOVERNING LAW</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10.1    Dispute Resolution</w:t>
      </w:r>
    </w:p>
    <w:p>
      <w:pPr>
        <w:spacing w:after="60" w:before="60"/>
      </w:pPr>
      <w:r>
        <w:rPr>
          <w:rFonts w:ascii="Arial" w:cs="Arial" w:eastAsia="Arial" w:hAnsi="Arial"/>
          <w:color w:val="000000"/>
          <w:sz w:val="20"/>
          <w:szCs w:val="20"/>
        </w:rPr>
        <w:t xml:space="preserve">The parties agree to the following escalation process before pursuing any legal remedy:</w:t>
      </w:r>
    </w:p>
    <w:p>
      <w:pPr>
        <w:spacing w:after="60" w:before="60"/>
        <w:ind w:left="720" w:hanging="360"/>
      </w:pPr>
      <w:r>
        <w:rPr>
          <w:rFonts w:ascii="Arial" w:cs="Arial" w:eastAsia="Arial" w:hAnsi="Arial"/>
          <w:b/>
          <w:bCs/>
          <w:sz w:val="20"/>
          <w:szCs w:val="20"/>
        </w:rPr>
        <w:t xml:space="preserve">1.    </w:t>
      </w:r>
      <w:r>
        <w:rPr>
          <w:rFonts w:ascii="Arial" w:cs="Arial" w:eastAsia="Arial" w:hAnsi="Arial"/>
          <w:sz w:val="20"/>
          <w:szCs w:val="20"/>
        </w:rPr>
        <w:t xml:space="preserve">Good faith negotiation for a minimum of 14 calendar days following written notice of dispute.</w:t>
      </w:r>
    </w:p>
    <w:p>
      <w:pPr>
        <w:spacing w:after="60" w:before="60"/>
        <w:ind w:left="720" w:hanging="360"/>
      </w:pPr>
      <w:r>
        <w:rPr>
          <w:rFonts w:ascii="Arial" w:cs="Arial" w:eastAsia="Arial" w:hAnsi="Arial"/>
          <w:b/>
          <w:bCs/>
          <w:sz w:val="20"/>
          <w:szCs w:val="20"/>
        </w:rPr>
        <w:t xml:space="preserve">2.    </w:t>
      </w:r>
      <w:r>
        <w:rPr>
          <w:rFonts w:ascii="Arial" w:cs="Arial" w:eastAsia="Arial" w:hAnsi="Arial"/>
          <w:sz w:val="20"/>
          <w:szCs w:val="20"/>
        </w:rPr>
        <w:t xml:space="preserve">Non-binding mediation if negotiation fails to resolve the dispute.</w:t>
      </w:r>
    </w:p>
    <w:p>
      <w:pPr>
        <w:spacing w:after="60" w:before="60"/>
        <w:ind w:left="720" w:hanging="360"/>
      </w:pPr>
      <w:r>
        <w:rPr>
          <w:rFonts w:ascii="Arial" w:cs="Arial" w:eastAsia="Arial" w:hAnsi="Arial"/>
          <w:b/>
          <w:bCs/>
          <w:sz w:val="20"/>
          <w:szCs w:val="20"/>
        </w:rPr>
        <w:t xml:space="preserve">3.    </w:t>
      </w:r>
      <w:r>
        <w:rPr>
          <w:rFonts w:ascii="Arial" w:cs="Arial" w:eastAsia="Arial" w:hAnsi="Arial"/>
          <w:sz w:val="20"/>
          <w:szCs w:val="20"/>
        </w:rPr>
        <w:t xml:space="preserve">Binding JAMS arbitration in New York, NY if mediation does not result in resolution.</w:t>
      </w:r>
    </w:p>
    <w:p>
      <w:pPr>
        <w:spacing w:after="60" w:before="60"/>
      </w:pPr>
      <w:r>
        <w:t xml:space="preserve"/>
      </w:r>
    </w:p>
    <w:p>
      <w:pPr>
        <w:spacing w:after="60" w:before="60"/>
      </w:pPr>
      <w:r>
        <w:rPr>
          <w:rFonts w:ascii="Arial" w:cs="Arial" w:eastAsia="Arial" w:hAnsi="Arial"/>
          <w:color w:val="000000"/>
          <w:sz w:val="20"/>
          <w:szCs w:val="20"/>
        </w:rPr>
        <w:t xml:space="preserve">The prevailing party in arbitration shall be entitled to recover reasonable attorneys fees and costs.</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10.2    Governing Law</w:t>
      </w:r>
    </w:p>
    <w:p>
      <w:pPr>
        <w:spacing w:after="60" w:before="60"/>
      </w:pPr>
      <w:r>
        <w:rPr>
          <w:rFonts w:ascii="Arial" w:cs="Arial" w:eastAsia="Arial" w:hAnsi="Arial"/>
          <w:color w:val="000000"/>
          <w:sz w:val="20"/>
          <w:szCs w:val="20"/>
        </w:rPr>
        <w:t xml:space="preserve">This agreement is governed by the laws of the State of New York without regard to its conflict of law provisions. Technical Engineer operates as an independent contractor and is solely responsible for all applicable federal, state, and local taxes.</w:t>
      </w:r>
    </w:p>
    <w:p>
      <w:pPr>
        <w:spacing w:after="180" w:before="180"/>
      </w:pPr>
      <w:r>
        <w:t xml:space="preserve"/>
      </w:r>
    </w:p>
    <w:p>
      <w:pPr>
        <w:pStyle w:val="Heading1"/>
        <w:pBdr>
          <w:bottom w:val="single" w:color="1F3A6E" w:sz="4" w:space="6"/>
        </w:pBdr>
        <w:spacing w:after="120" w:before="400"/>
      </w:pPr>
      <w:r>
        <w:rPr>
          <w:rFonts w:ascii="Arial" w:cs="Arial" w:eastAsia="Arial" w:hAnsi="Arial"/>
          <w:b/>
          <w:bCs/>
          <w:color w:val="1F3A6E"/>
          <w:sz w:val="26"/>
          <w:szCs w:val="26"/>
        </w:rPr>
        <w:t xml:space="preserve">ARTICLE XI    GENERAL PROVISIONS</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11.1    Notices</w:t>
      </w:r>
    </w:p>
    <w:p>
      <w:pPr>
        <w:spacing w:after="60" w:before="60"/>
      </w:pPr>
      <w:r>
        <w:rPr>
          <w:rFonts w:ascii="Arial" w:cs="Arial" w:eastAsia="Arial" w:hAnsi="Arial"/>
          <w:color w:val="000000"/>
          <w:sz w:val="20"/>
          <w:szCs w:val="20"/>
        </w:rPr>
        <w:t xml:space="preserve">Any notice or communication required or permitted under this agreement shall be in writing and delivered by email with confirmed receipt, overnight courier, or registered mail to the addresses set forth in the Parties section above. Notice to Technical Engineer shall also be sent to his email address on file. Notice is effective upon confirmed receipt.</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11.2    Electronic Signatures and Counterparts</w:t>
      </w:r>
    </w:p>
    <w:p>
      <w:pPr>
        <w:spacing w:after="60" w:before="60"/>
      </w:pPr>
      <w:r>
        <w:rPr>
          <w:rFonts w:ascii="Arial" w:cs="Arial" w:eastAsia="Arial" w:hAnsi="Arial"/>
          <w:color w:val="000000"/>
          <w:sz w:val="20"/>
          <w:szCs w:val="20"/>
        </w:rPr>
        <w:t xml:space="preserve">This agreement may be executed in one or more counterparts, each of which shall be deemed an original and all of which together shall constitute one and the same instrument. Electronic signatures transmitted by email, DocuSign, or similar platform shall have the same legal force and effect as original ink signatures.</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11.3    Force Majeure</w:t>
      </w:r>
    </w:p>
    <w:p>
      <w:pPr>
        <w:spacing w:after="60" w:before="60"/>
      </w:pPr>
      <w:r>
        <w:rPr>
          <w:rFonts w:ascii="Arial" w:cs="Arial" w:eastAsia="Arial" w:hAnsi="Arial"/>
          <w:color w:val="000000"/>
          <w:sz w:val="20"/>
          <w:szCs w:val="20"/>
        </w:rPr>
        <w:t xml:space="preserve">Neither party shall be considered in breach of this agreement for any delay or failure to perform caused by events beyond that party's reasonable control, including fire, flood, earthquake, war, terrorism, government action, or similar events. The affected party shall notify the other party as soon as practicable and use reasonable efforts to resume performance.</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11.4    No Implied Waiver</w:t>
      </w:r>
    </w:p>
    <w:p>
      <w:pPr>
        <w:spacing w:after="60" w:before="60"/>
      </w:pPr>
      <w:r>
        <w:rPr>
          <w:rFonts w:ascii="Arial" w:cs="Arial" w:eastAsia="Arial" w:hAnsi="Arial"/>
          <w:color w:val="000000"/>
          <w:sz w:val="20"/>
          <w:szCs w:val="20"/>
        </w:rPr>
        <w:t xml:space="preserve">The failure of either party to insist on strict performance of any provision of this agreement shall not be deemed a waiver of that party's right to demand strict compliance in the future. No waiver of any breach shall constitute a waiver of any subsequent breach.</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11.5    Assignment</w:t>
      </w:r>
    </w:p>
    <w:p>
      <w:pPr>
        <w:spacing w:after="60" w:before="60"/>
      </w:pPr>
      <w:r>
        <w:rPr>
          <w:rFonts w:ascii="Arial" w:cs="Arial" w:eastAsia="Arial" w:hAnsi="Arial"/>
          <w:color w:val="000000"/>
          <w:sz w:val="20"/>
          <w:szCs w:val="20"/>
        </w:rPr>
        <w:t xml:space="preserve">Technical Engineer may not assign, subcontract, or delegate obligations under this agreement without prior written consent of Company. Company may assign this agreement freely in connection with a merger, acquisition, or sale of substantially all of its assets.</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11.6    Entire Agreement</w:t>
      </w:r>
    </w:p>
    <w:p>
      <w:pPr>
        <w:spacing w:after="60" w:before="60"/>
      </w:pPr>
      <w:r>
        <w:rPr>
          <w:rFonts w:ascii="Arial" w:cs="Arial" w:eastAsia="Arial" w:hAnsi="Arial"/>
          <w:color w:val="000000"/>
          <w:sz w:val="20"/>
          <w:szCs w:val="20"/>
        </w:rPr>
        <w:t xml:space="preserve">This agreement, including all attached addenda, constitutes the entire agreement between the parties and supersedes all prior discussions, representations, and understandings, whether written or verbal. No modification is valid unless made in writing and signed by both parties.</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11.7    Severability</w:t>
      </w:r>
    </w:p>
    <w:p>
      <w:pPr>
        <w:spacing w:after="60" w:before="60"/>
      </w:pPr>
      <w:r>
        <w:rPr>
          <w:rFonts w:ascii="Arial" w:cs="Arial" w:eastAsia="Arial" w:hAnsi="Arial"/>
          <w:color w:val="000000"/>
          <w:sz w:val="20"/>
          <w:szCs w:val="20"/>
        </w:rPr>
        <w:t xml:space="preserve">If any provision of this agreement is found to be invalid, illegal, or unenforceable, that provision shall be modified to the minimum extent necessary to make it enforceable, and all remaining provisions shall remain in full force and effect.</w:t>
      </w:r>
    </w:p>
    <w:p>
      <w:pPr>
        <w:spacing w:after="60" w:before="60"/>
      </w:pPr>
      <w:r>
        <w:t xml:space="preserve"/>
      </w:r>
    </w:p>
    <w:p>
      <w:pPr>
        <w:pStyle w:val="Heading2"/>
        <w:spacing w:after="80" w:before="280"/>
      </w:pPr>
      <w:r>
        <w:rPr>
          <w:rFonts w:ascii="Arial" w:cs="Arial" w:eastAsia="Arial" w:hAnsi="Arial"/>
          <w:b/>
          <w:bCs/>
          <w:color w:val="1F3A6E"/>
          <w:sz w:val="22"/>
          <w:szCs w:val="22"/>
        </w:rPr>
        <w:t xml:space="preserve">11.8    Headings</w:t>
      </w:r>
    </w:p>
    <w:p>
      <w:pPr>
        <w:spacing w:after="60" w:before="60"/>
      </w:pPr>
      <w:r>
        <w:rPr>
          <w:rFonts w:ascii="Arial" w:cs="Arial" w:eastAsia="Arial" w:hAnsi="Arial"/>
          <w:color w:val="000000"/>
          <w:sz w:val="20"/>
          <w:szCs w:val="20"/>
        </w:rPr>
        <w:t xml:space="preserve">Headings used in this agreement are provided for convenience only and shall not be used to construe meaning or intent.</w:t>
      </w:r>
    </w:p>
    <w:p>
      <w:pPr>
        <w:spacing w:after="180" w:before="180"/>
      </w:pPr>
      <w:r>
        <w:t xml:space="preserve"/>
      </w:r>
    </w:p>
    <w:p>
      <w:pPr>
        <w:pStyle w:val="Heading1"/>
        <w:pBdr>
          <w:bottom w:val="single" w:color="1F3A6E" w:sz="4" w:space="6"/>
        </w:pBdr>
        <w:spacing w:after="120" w:before="400"/>
      </w:pPr>
      <w:r>
        <w:rPr>
          <w:rFonts w:ascii="Arial" w:cs="Arial" w:eastAsia="Arial" w:hAnsi="Arial"/>
          <w:b/>
          <w:bCs/>
          <w:color w:val="1F3A6E"/>
          <w:sz w:val="26"/>
          <w:szCs w:val="26"/>
        </w:rPr>
        <w:t xml:space="preserve">EXECUTION</w:t>
      </w:r>
    </w:p>
    <w:p>
      <w:pPr>
        <w:spacing w:after="60" w:before="60"/>
      </w:pPr>
      <w:r>
        <w:t xml:space="preserve"/>
      </w:r>
    </w:p>
    <w:p>
      <w:pPr>
        <w:spacing w:after="60" w:before="60"/>
      </w:pPr>
      <w:r>
        <w:rPr>
          <w:rFonts w:ascii="Arial" w:cs="Arial" w:eastAsia="Arial" w:hAnsi="Arial"/>
          <w:color w:val="000000"/>
          <w:sz w:val="20"/>
          <w:szCs w:val="20"/>
        </w:rPr>
        <w:t xml:space="preserve">By signing below, each party confirms they have read, understood, and agreed to all terms of this agreement. This agreement is not binding on either party until signed by both parties.</w:t>
      </w:r>
    </w:p>
    <w:p>
      <w:pPr>
        <w:spacing w:after="120" w:before="120"/>
      </w:pPr>
      <w:r>
        <w:t xml:space="preserve"/>
      </w:r>
    </w:p>
    <w:p>
      <w:pPr>
        <w:spacing w:after="60" w:before="200"/>
      </w:pPr>
      <w:r>
        <w:rPr>
          <w:rFonts w:ascii="Arial" w:cs="Arial" w:eastAsia="Arial" w:hAnsi="Arial"/>
          <w:b/>
          <w:bCs/>
          <w:color w:val="000000"/>
          <w:sz w:val="21"/>
          <w:szCs w:val="21"/>
        </w:rPr>
        <w:t xml:space="preserve">Nesting Navigator, LLC DBA MyNookAi</w:t>
      </w:r>
    </w:p>
    <w:p>
      <w:pPr>
        <w:spacing w:after="60" w:before="120"/>
      </w:pPr>
      <w:r>
        <w:rPr>
          <w:rFonts w:ascii="Arial" w:cs="Arial" w:eastAsia="Arial" w:hAnsi="Arial"/>
          <w:b/>
          <w:bCs/>
          <w:sz w:val="20"/>
          <w:szCs w:val="20"/>
        </w:rPr>
        <w:t xml:space="preserve">Signature:    </w:t>
      </w:r>
      <w:r>
        <w:rPr>
          <w:rFonts w:ascii="Arial" w:cs="Arial" w:eastAsia="Arial" w:hAnsi="Arial"/>
          <w:sz w:val="20"/>
          <w:szCs w:val="20"/>
        </w:rPr>
        <w:t xml:space="preserve">______________________________________</w:t>
      </w:r>
    </w:p>
    <w:p>
      <w:pPr>
        <w:spacing w:after="60" w:before="60"/>
      </w:pPr>
      <w:r>
        <w:rPr>
          <w:rFonts w:ascii="Arial" w:cs="Arial" w:eastAsia="Arial" w:hAnsi="Arial"/>
          <w:b/>
          <w:bCs/>
          <w:sz w:val="20"/>
          <w:szCs w:val="20"/>
        </w:rPr>
        <w:t xml:space="preserve">Name:    </w:t>
      </w:r>
      <w:r>
        <w:rPr>
          <w:rFonts w:ascii="Arial" w:cs="Arial" w:eastAsia="Arial" w:hAnsi="Arial"/>
          <w:sz w:val="20"/>
          <w:szCs w:val="20"/>
        </w:rPr>
        <w:t xml:space="preserve">Jed A. Rubin</w:t>
      </w:r>
    </w:p>
    <w:p>
      <w:pPr>
        <w:spacing w:after="60" w:before="60"/>
      </w:pPr>
      <w:r>
        <w:rPr>
          <w:rFonts w:ascii="Arial" w:cs="Arial" w:eastAsia="Arial" w:hAnsi="Arial"/>
          <w:b/>
          <w:bCs/>
          <w:sz w:val="20"/>
          <w:szCs w:val="20"/>
        </w:rPr>
        <w:t xml:space="preserve">Title:    </w:t>
      </w:r>
      <w:r>
        <w:rPr>
          <w:rFonts w:ascii="Arial" w:cs="Arial" w:eastAsia="Arial" w:hAnsi="Arial"/>
          <w:sz w:val="20"/>
          <w:szCs w:val="20"/>
        </w:rPr>
        <w:t xml:space="preserve">Founder and CEO</w:t>
      </w:r>
    </w:p>
    <w:p>
      <w:pPr>
        <w:spacing w:after="60" w:before="120"/>
      </w:pPr>
      <w:r>
        <w:rPr>
          <w:rFonts w:ascii="Arial" w:cs="Arial" w:eastAsia="Arial" w:hAnsi="Arial"/>
          <w:b/>
          <w:bCs/>
          <w:sz w:val="20"/>
          <w:szCs w:val="20"/>
        </w:rPr>
        <w:t xml:space="preserve">Date:    </w:t>
      </w:r>
      <w:r>
        <w:rPr>
          <w:rFonts w:ascii="Arial" w:cs="Arial" w:eastAsia="Arial" w:hAnsi="Arial"/>
          <w:sz w:val="20"/>
          <w:szCs w:val="20"/>
        </w:rPr>
        <w:t xml:space="preserve">______________________________________</w:t>
      </w:r>
    </w:p>
    <w:p>
      <w:pPr>
        <w:spacing w:after="180" w:before="180"/>
      </w:pPr>
      <w:r>
        <w:t xml:space="preserve"/>
      </w:r>
    </w:p>
    <w:p>
      <w:pPr>
        <w:spacing w:after="60" w:before="200"/>
      </w:pPr>
      <w:r>
        <w:rPr>
          <w:rFonts w:ascii="Arial" w:cs="Arial" w:eastAsia="Arial" w:hAnsi="Arial"/>
          <w:b/>
          <w:bCs/>
          <w:color w:val="000000"/>
          <w:sz w:val="21"/>
          <w:szCs w:val="21"/>
        </w:rPr>
        <w:t xml:space="preserve">Technical Engineer</w:t>
      </w:r>
    </w:p>
    <w:p>
      <w:pPr>
        <w:spacing w:after="60" w:before="120"/>
      </w:pPr>
      <w:r>
        <w:rPr>
          <w:rFonts w:ascii="Arial" w:cs="Arial" w:eastAsia="Arial" w:hAnsi="Arial"/>
          <w:b/>
          <w:bCs/>
          <w:sz w:val="20"/>
          <w:szCs w:val="20"/>
        </w:rPr>
        <w:t xml:space="preserve">Signature:    </w:t>
      </w:r>
      <w:r>
        <w:rPr>
          <w:rFonts w:ascii="Arial" w:cs="Arial" w:eastAsia="Arial" w:hAnsi="Arial"/>
          <w:sz w:val="20"/>
          <w:szCs w:val="20"/>
        </w:rPr>
        <w:t xml:space="preserve">______________________________________</w:t>
      </w:r>
    </w:p>
    <w:p>
      <w:pPr>
        <w:spacing w:after="60" w:before="60"/>
      </w:pPr>
      <w:r>
        <w:rPr>
          <w:rFonts w:ascii="Arial" w:cs="Arial" w:eastAsia="Arial" w:hAnsi="Arial"/>
          <w:b/>
          <w:bCs/>
          <w:sz w:val="20"/>
          <w:szCs w:val="20"/>
        </w:rPr>
        <w:t xml:space="preserve">Name:    </w:t>
      </w:r>
      <w:r>
        <w:rPr>
          <w:rFonts w:ascii="Arial" w:cs="Arial" w:eastAsia="Arial" w:hAnsi="Arial"/>
          <w:sz w:val="20"/>
          <w:szCs w:val="20"/>
        </w:rPr>
        <w:t xml:space="preserve">Elad Yaakobovitch</w:t>
      </w:r>
    </w:p>
    <w:p>
      <w:pPr>
        <w:spacing w:after="60" w:before="60"/>
      </w:pPr>
      <w:r>
        <w:rPr>
          <w:rFonts w:ascii="Arial" w:cs="Arial" w:eastAsia="Arial" w:hAnsi="Arial"/>
          <w:b/>
          <w:bCs/>
          <w:sz w:val="20"/>
          <w:szCs w:val="20"/>
        </w:rPr>
        <w:t xml:space="preserve">Title:    </w:t>
      </w:r>
      <w:r>
        <w:rPr>
          <w:rFonts w:ascii="Arial" w:cs="Arial" w:eastAsia="Arial" w:hAnsi="Arial"/>
          <w:sz w:val="20"/>
          <w:szCs w:val="20"/>
        </w:rPr>
        <w:t xml:space="preserve">Lead Architect, Orchestration and AI Systems</w:t>
      </w:r>
    </w:p>
    <w:p>
      <w:pPr>
        <w:spacing w:after="60" w:before="120"/>
      </w:pPr>
      <w:r>
        <w:rPr>
          <w:rFonts w:ascii="Arial" w:cs="Arial" w:eastAsia="Arial" w:hAnsi="Arial"/>
          <w:b/>
          <w:bCs/>
          <w:sz w:val="20"/>
          <w:szCs w:val="20"/>
        </w:rPr>
        <w:t xml:space="preserve">Date:    </w:t>
      </w:r>
      <w:r>
        <w:rPr>
          <w:rFonts w:ascii="Arial" w:cs="Arial" w:eastAsia="Arial" w:hAnsi="Arial"/>
          <w:sz w:val="20"/>
          <w:szCs w:val="20"/>
        </w:rPr>
        <w:t xml:space="preserve">______________________________________</w:t>
      </w:r>
    </w:p>
    <w:p>
      <w:pPr>
        <w:spacing w:after="180" w:before="180"/>
      </w:pPr>
      <w:r>
        <w:t xml:space="preserve"/>
      </w:r>
    </w:p>
    <w:p>
      <w:pPr>
        <w:pageBreakBefore/>
      </w:pPr>
      <w:r>
        <w:t xml:space="preserve"/>
      </w:r>
    </w:p>
    <w:p>
      <w:pPr>
        <w:pStyle w:val="Heading1"/>
        <w:pBdr>
          <w:bottom w:val="single" w:color="1F3A6E" w:sz="4" w:space="6"/>
        </w:pBdr>
        <w:spacing w:after="120" w:before="400"/>
      </w:pPr>
      <w:r>
        <w:rPr>
          <w:rFonts w:ascii="Arial" w:cs="Arial" w:eastAsia="Arial" w:hAnsi="Arial"/>
          <w:b/>
          <w:bCs/>
          <w:color w:val="1F3A6E"/>
          <w:sz w:val="26"/>
          <w:szCs w:val="26"/>
        </w:rPr>
        <w:t xml:space="preserve">ADDENDUM A    PHASE 1 DETAILED FEATURE LIST</w:t>
      </w:r>
    </w:p>
    <w:p>
      <w:pPr>
        <w:spacing w:after="60" w:before="60"/>
      </w:pPr>
      <w:r>
        <w:t xml:space="preserve"/>
      </w:r>
    </w:p>
    <w:p>
      <w:pPr>
        <w:spacing w:after="60" w:before="60"/>
      </w:pPr>
      <w:r>
        <w:rPr>
          <w:rFonts w:ascii="Arial" w:cs="Arial" w:eastAsia="Arial" w:hAnsi="Arial"/>
          <w:color w:val="000000"/>
          <w:sz w:val="20"/>
          <w:szCs w:val="20"/>
        </w:rPr>
        <w:t xml:space="preserve">The following features are required under Phase 1 Financial Readiness as referenced in Section 2.1:</w:t>
      </w:r>
    </w:p>
    <w:p>
      <w:pPr>
        <w:spacing w:after="60" w:before="60"/>
      </w:pPr>
      <w:r>
        <w:t xml:space="preserve"/>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Monthly budget intake form with income, debt, and expense inputs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Debt-to-income ratio calculator with plain-language output</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Rent versus buy comparison tool with city-specific cost data</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Down payment savings timeline generator</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Mortgage calculator</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First-time buyer and renter program qualification checker for New York, Boston, and Chicago</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Credit score context and guidance module</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Personalized financial readiness score with recommended next steps</w:t>
      </w:r>
    </w:p>
    <w:p>
      <w:pPr>
        <w:spacing w:after="60" w:before="60"/>
        <w:ind w:left="720" w:hanging="360"/>
      </w:pPr>
      <w:r>
        <w:rPr>
          <w:rFonts w:ascii="Arial" w:cs="Arial" w:eastAsia="Arial" w:hAnsi="Arial"/>
          <w:sz w:val="20"/>
          <w:szCs w:val="20"/>
        </w:rPr>
        <w:t xml:space="preserve">-    </w:t>
      </w:r>
      <w:r>
        <w:rPr>
          <w:rFonts w:ascii="Arial" w:cs="Arial" w:eastAsia="Arial" w:hAnsi="Arial"/>
          <w:sz w:val="20"/>
          <w:szCs w:val="20"/>
        </w:rPr>
        <w:t xml:space="preserve">Full integration with Nook AI conversational interface delivering all outputs in advisory tone</w:t>
      </w:r>
    </w:p>
    <w:p>
      <w:pPr>
        <w:spacing w:after="180" w:before="180"/>
      </w:pPr>
      <w:r>
        <w:t xml:space="preserve"/>
      </w:r>
    </w:p>
    <w:p>
      <w:pPr>
        <w:pStyle w:val="Heading1"/>
        <w:pBdr>
          <w:bottom w:val="single" w:color="1F3A6E" w:sz="4" w:space="6"/>
        </w:pBdr>
        <w:spacing w:after="120" w:before="400"/>
      </w:pPr>
      <w:r>
        <w:rPr>
          <w:rFonts w:ascii="Arial" w:cs="Arial" w:eastAsia="Arial" w:hAnsi="Arial"/>
          <w:b/>
          <w:bCs/>
          <w:color w:val="1F3A6E"/>
          <w:sz w:val="26"/>
          <w:szCs w:val="26"/>
        </w:rPr>
        <w:t xml:space="preserve">ADDENDUM B    SECURITY IMPLEMENTATION ACKNOWLEDGMENT</w:t>
      </w:r>
    </w:p>
    <w:p>
      <w:pPr>
        <w:spacing w:after="60" w:before="60"/>
      </w:pPr>
      <w:r>
        <w:t xml:space="preserve"/>
      </w:r>
    </w:p>
    <w:p>
      <w:pPr>
        <w:spacing w:after="60" w:before="60"/>
      </w:pPr>
      <w:r>
        <w:rPr>
          <w:rFonts w:ascii="Arial" w:cs="Arial" w:eastAsia="Arial" w:hAnsi="Arial"/>
          <w:color w:val="000000"/>
          <w:sz w:val="20"/>
          <w:szCs w:val="20"/>
        </w:rPr>
        <w:t xml:space="preserve">Technical Engineer acknowledges having read and understood all security requirements set forth in Article VIII and agrees to implement them as a core obligation of this engagement, not as an optional or post-launch enhancement.</w:t>
      </w:r>
    </w:p>
    <w:p>
      <w:pPr>
        <w:spacing w:after="120" w:before="120"/>
      </w:pPr>
      <w:r>
        <w:t xml:space="preserve"/>
      </w:r>
    </w:p>
    <w:p>
      <w:pPr>
        <w:spacing w:after="60" w:before="120"/>
      </w:pPr>
      <w:r>
        <w:rPr>
          <w:rFonts w:ascii="Arial" w:cs="Arial" w:eastAsia="Arial" w:hAnsi="Arial"/>
          <w:b/>
          <w:bCs/>
          <w:sz w:val="20"/>
          <w:szCs w:val="20"/>
        </w:rPr>
        <w:t xml:space="preserve">Technical Engineer Initials:    </w:t>
      </w:r>
      <w:r>
        <w:rPr>
          <w:rFonts w:ascii="Arial" w:cs="Arial" w:eastAsia="Arial" w:hAnsi="Arial"/>
          <w:sz w:val="20"/>
          <w:szCs w:val="20"/>
        </w:rPr>
        <w:t xml:space="preserve">______________________________________</w:t>
      </w:r>
    </w:p>
    <w:p>
      <w:pPr>
        <w:spacing w:after="60" w:before="60"/>
      </w:pPr>
      <w:r>
        <w:t xml:space="preserve"/>
      </w:r>
    </w:p>
    <w:p>
      <w:pPr>
        <w:spacing w:after="60" w:before="60"/>
      </w:pPr>
      <w:r>
        <w:rPr>
          <w:rFonts w:ascii="Arial" w:cs="Arial" w:eastAsia="Arial" w:hAnsi="Arial"/>
          <w:b/>
          <w:bCs/>
          <w:sz w:val="20"/>
          <w:szCs w:val="20"/>
        </w:rPr>
        <w:t xml:space="preserve">Date:    </w:t>
      </w:r>
      <w:r>
        <w:rPr>
          <w:rFonts w:ascii="Arial" w:cs="Arial" w:eastAsia="Arial" w:hAnsi="Arial"/>
          <w:sz w:val="20"/>
          <w:szCs w:val="20"/>
        </w:rPr>
        <w:t xml:space="preserve">___________________</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3A6E" w:sz="2" w:space="4"/>
      </w:pBdr>
      <w:jc w:val="center"/>
    </w:pPr>
    <w:r>
      <w:rPr>
        <w:rFonts w:ascii="Arial" w:cs="Arial" w:eastAsia="Arial" w:hAnsi="Arial"/>
        <w:color w:val="555555"/>
        <w:sz w:val="16"/>
        <w:szCs w:val="16"/>
      </w:rPr>
      <w:t xml:space="preserve">Page </w:t>
    </w:r>
    <w:r>
      <w:rPr>
        <w:rFonts w:ascii="Arial" w:cs="Arial" w:eastAsia="Arial" w:hAnsi="Arial"/>
        <w:color w:val="555555"/>
        <w:sz w:val="16"/>
        <w:szCs w:val="16"/>
      </w:rPr>
      <w:fldChar w:fldCharType="begin"/>
      <w:instrText xml:space="preserve">PAGE</w:instrText>
      <w:fldChar w:fldCharType="separate"/>
      <w:fldChar w:fldCharType="end"/>
    </w:r>
    <w:r>
      <w:rPr>
        <w:rFonts w:ascii="Arial" w:cs="Arial" w:eastAsia="Arial" w:hAnsi="Arial"/>
        <w:color w:val="555555"/>
        <w:sz w:val="16"/>
        <w:szCs w:val="16"/>
      </w:rPr>
      <w:t xml:space="preserve">  |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3A6E" w:sz="2" w:space="4"/>
      </w:pBdr>
      <w:jc w:val="right"/>
    </w:pPr>
    <w:r>
      <w:rPr>
        <w:rFonts w:ascii="Arial" w:cs="Arial" w:eastAsia="Arial" w:hAnsi="Arial"/>
        <w:color w:val="555555"/>
        <w:sz w:val="16"/>
        <w:szCs w:val="16"/>
      </w:rPr>
      <w:t xml:space="preserve">Nesting Navigator, LLC DBA MyNookAi  |  Development and Contractor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400"/>
      <w:outlineLvl w:val="0"/>
    </w:pPr>
    <w:rPr>
      <w:rFonts w:ascii="Arial" w:cs="Arial" w:eastAsia="Arial" w:hAnsi="Arial"/>
      <w:b/>
      <w:bCs/>
      <w:color w:val="1F3A6E"/>
      <w:sz w:val="26"/>
      <w:szCs w:val="26"/>
    </w:rPr>
  </w:style>
  <w:style w:type="paragraph" w:styleId="Heading2">
    <w:name w:val="Heading 2"/>
    <w:basedOn w:val="Normal"/>
    <w:next w:val="Normal"/>
    <w:qFormat/>
    <w:pPr>
      <w:spacing w:after="80" w:before="280"/>
      <w:outlineLvl w:val="1"/>
    </w:pPr>
    <w:rPr>
      <w:rFonts w:ascii="Arial" w:cs="Arial" w:eastAsia="Arial" w:hAnsi="Arial"/>
      <w:b/>
      <w:bCs/>
      <w:color w:val="1F3A6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2026-05-07T14:50:33.463Z</dcterms:created>
  <dcterms:modified xsi:type="dcterms:W3CDTF">2026-05-07T14:50:33.475Z</dcterms:modified>
</cp:coreProperties>
</file>

<file path=docProps/custom.xml><?xml version="1.0" encoding="utf-8"?>
<Properties xmlns="http://schemas.openxmlformats.org/officeDocument/2006/custom-properties" xmlns:vt="http://schemas.openxmlformats.org/officeDocument/2006/docPropsVTypes"/>
</file>